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8" w:type="dxa"/>
        <w:tblLook w:val="01E0" w:firstRow="1" w:lastRow="1" w:firstColumn="1" w:lastColumn="1" w:noHBand="0" w:noVBand="0"/>
      </w:tblPr>
      <w:tblGrid>
        <w:gridCol w:w="3393"/>
        <w:gridCol w:w="360"/>
        <w:gridCol w:w="6075"/>
      </w:tblGrid>
      <w:tr w:rsidR="002B6E3C" w:rsidRPr="00695AA6" w:rsidTr="00054E2E">
        <w:tc>
          <w:tcPr>
            <w:tcW w:w="3393" w:type="dxa"/>
          </w:tcPr>
          <w:p w:rsidR="002B6E3C" w:rsidRPr="00695AA6" w:rsidRDefault="002B6E3C" w:rsidP="00054E2E">
            <w:pPr>
              <w:jc w:val="center"/>
              <w:rPr>
                <w:b/>
              </w:rPr>
            </w:pPr>
            <w:r w:rsidRPr="00695AA6">
              <w:rPr>
                <w:b/>
              </w:rPr>
              <w:t>HỘI ĐỒNG NHÂN DÂN</w:t>
            </w:r>
          </w:p>
          <w:p w:rsidR="002B6E3C" w:rsidRPr="00695AA6" w:rsidRDefault="002B6E3C" w:rsidP="00054E2E">
            <w:pPr>
              <w:jc w:val="center"/>
              <w:rPr>
                <w:b/>
              </w:rPr>
            </w:pPr>
            <w:r w:rsidRPr="00695AA6">
              <w:rPr>
                <w:b/>
              </w:rPr>
              <w:t>TỈNH ĐIỆN BIÊN</w:t>
            </w:r>
          </w:p>
          <w:p w:rsidR="002B6E3C" w:rsidRPr="00695AA6" w:rsidRDefault="00CB1EED" w:rsidP="00054E2E">
            <w:pPr>
              <w:jc w:val="center"/>
            </w:pPr>
            <w:r>
              <w:rPr>
                <w:noProof/>
              </w:rPr>
              <w:pict>
                <v:line id=" 2" o:spid="_x0000_s1026" style="position:absolute;left:0;text-align:left;z-index:1;visibility:visible" from="45.1pt,1.9pt" to="99.1pt,1.9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">
                  <o:lock v:ext="edit" shapetype="f"/>
                </v:line>
              </w:pict>
            </w:r>
          </w:p>
          <w:p w:rsidR="002B6E3C" w:rsidRPr="00695AA6" w:rsidRDefault="002B6E3C" w:rsidP="00054E2E">
            <w:pPr>
              <w:jc w:val="center"/>
            </w:pPr>
            <w:r w:rsidRPr="00695AA6">
              <w:t xml:space="preserve">Số: </w:t>
            </w:r>
            <w:r>
              <w:t>188</w:t>
            </w:r>
            <w:r w:rsidRPr="00695AA6">
              <w:t>/NQ-HĐND</w:t>
            </w:r>
          </w:p>
        </w:tc>
        <w:tc>
          <w:tcPr>
            <w:tcW w:w="360" w:type="dxa"/>
          </w:tcPr>
          <w:p w:rsidR="002B6E3C" w:rsidRPr="00695AA6" w:rsidRDefault="002B6E3C" w:rsidP="00054E2E"/>
        </w:tc>
        <w:tc>
          <w:tcPr>
            <w:tcW w:w="6075" w:type="dxa"/>
          </w:tcPr>
          <w:p w:rsidR="002B6E3C" w:rsidRPr="00695AA6" w:rsidRDefault="002B6E3C" w:rsidP="00054E2E">
            <w:pPr>
              <w:jc w:val="center"/>
              <w:rPr>
                <w:b/>
                <w:sz w:val="26"/>
                <w:szCs w:val="26"/>
              </w:rPr>
            </w:pPr>
            <w:r w:rsidRPr="00695AA6">
              <w:rPr>
                <w:b/>
                <w:sz w:val="26"/>
                <w:szCs w:val="26"/>
              </w:rPr>
              <w:t xml:space="preserve">CỘNG HÒA XÃ HỘI CHỦ NGHĨA VIỆT </w:t>
            </w:r>
            <w:smartTag w:uri="urn:schemas-microsoft-com:office:smarttags" w:element="country-region">
              <w:smartTag w:uri="urn:schemas-microsoft-com:office:smarttags" w:element="place">
                <w:r w:rsidRPr="00695AA6">
                  <w:rPr>
                    <w:b/>
                    <w:sz w:val="26"/>
                    <w:szCs w:val="26"/>
                  </w:rPr>
                  <w:t>NAM</w:t>
                </w:r>
              </w:smartTag>
            </w:smartTag>
          </w:p>
          <w:p w:rsidR="002B6E3C" w:rsidRPr="00695AA6" w:rsidRDefault="002B6E3C" w:rsidP="00054E2E">
            <w:pPr>
              <w:jc w:val="center"/>
              <w:rPr>
                <w:b/>
                <w:sz w:val="26"/>
                <w:szCs w:val="26"/>
              </w:rPr>
            </w:pPr>
            <w:r w:rsidRPr="00695AA6">
              <w:rPr>
                <w:b/>
                <w:sz w:val="26"/>
                <w:szCs w:val="26"/>
              </w:rPr>
              <w:t>Độc lập -  Tự do - Hạnh phúc</w:t>
            </w:r>
          </w:p>
          <w:p w:rsidR="002B6E3C" w:rsidRPr="00695AA6" w:rsidRDefault="00CB1EED" w:rsidP="00054E2E">
            <w:r>
              <w:rPr>
                <w:noProof/>
              </w:rPr>
              <w:pict>
                <v:line id=" 3" o:spid="_x0000_s1027" style="position:absolute;z-index:2;visibility:visible" from="78.25pt,2.65pt" to="213.25pt,2.65pt">
                  <o:lock v:ext="edit" shapetype="f"/>
                </v:line>
              </w:pict>
            </w:r>
          </w:p>
          <w:p w:rsidR="002B6E3C" w:rsidRPr="00695AA6" w:rsidRDefault="002B6E3C" w:rsidP="00C063B4">
            <w:r w:rsidRPr="00695AA6">
              <w:t xml:space="preserve">         </w:t>
            </w:r>
            <w:r w:rsidRPr="00695AA6">
              <w:rPr>
                <w:i/>
              </w:rPr>
              <w:t xml:space="preserve">Điện Biên, ngày  </w:t>
            </w:r>
            <w:r w:rsidR="00C063B4">
              <w:rPr>
                <w:i/>
              </w:rPr>
              <w:t>08</w:t>
            </w:r>
            <w:r w:rsidRPr="00695AA6">
              <w:rPr>
                <w:i/>
              </w:rPr>
              <w:t xml:space="preserve">  tháng 12 năm 2020</w:t>
            </w:r>
          </w:p>
        </w:tc>
      </w:tr>
    </w:tbl>
    <w:p w:rsidR="002B6E3C" w:rsidRPr="00695AA6" w:rsidRDefault="002B6E3C" w:rsidP="00B143C9"/>
    <w:p w:rsidR="002B6E3C" w:rsidRPr="00695AA6" w:rsidRDefault="002B6E3C" w:rsidP="00B143C9">
      <w:pPr>
        <w:jc w:val="center"/>
        <w:rPr>
          <w:b/>
          <w:sz w:val="12"/>
        </w:rPr>
      </w:pPr>
    </w:p>
    <w:p w:rsidR="002B6E3C" w:rsidRPr="00695AA6" w:rsidRDefault="002B6E3C" w:rsidP="00B143C9">
      <w:pPr>
        <w:jc w:val="center"/>
        <w:rPr>
          <w:b/>
        </w:rPr>
      </w:pPr>
      <w:r w:rsidRPr="00695AA6">
        <w:rPr>
          <w:b/>
        </w:rPr>
        <w:t>NGHỊ QUYẾT</w:t>
      </w:r>
    </w:p>
    <w:p w:rsidR="002B6E3C" w:rsidRPr="00695AA6" w:rsidRDefault="002B6E3C" w:rsidP="00B143C9">
      <w:pPr>
        <w:jc w:val="center"/>
      </w:pPr>
      <w:r w:rsidRPr="00991FC3">
        <w:rPr>
          <w:b/>
          <w:color w:val="0000FF"/>
        </w:rPr>
        <w:t xml:space="preserve">Về </w:t>
      </w:r>
      <w:r>
        <w:rPr>
          <w:b/>
        </w:rPr>
        <w:t>k</w:t>
      </w:r>
      <w:r w:rsidRPr="00695AA6">
        <w:rPr>
          <w:b/>
        </w:rPr>
        <w:t>ế hoạch Tài chính 05 năm địa phương giai đoạn 2021-2025</w:t>
      </w:r>
    </w:p>
    <w:p w:rsidR="002B6E3C" w:rsidRPr="00695AA6" w:rsidRDefault="00CB1EED" w:rsidP="00B143C9">
      <w:pPr>
        <w:spacing w:before="240"/>
        <w:jc w:val="center"/>
        <w:rPr>
          <w:b/>
          <w:sz w:val="16"/>
        </w:rPr>
      </w:pPr>
      <w:r>
        <w:rPr>
          <w:noProof/>
        </w:rPr>
        <w:pict>
          <v:line id=" 4" o:spid="_x0000_s1028" style="position:absolute;left:0;text-align:left;z-index:3;visibility:visible" from="134pt,4.25pt" to="328.3pt,4.2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">
            <o:lock v:ext="edit" shapetype="f"/>
          </v:line>
        </w:pict>
      </w:r>
    </w:p>
    <w:p w:rsidR="002B6E3C" w:rsidRPr="00695AA6" w:rsidRDefault="002B6E3C" w:rsidP="00B143C9">
      <w:pPr>
        <w:jc w:val="center"/>
        <w:rPr>
          <w:b/>
        </w:rPr>
      </w:pPr>
      <w:r w:rsidRPr="00695AA6">
        <w:rPr>
          <w:b/>
        </w:rPr>
        <w:t>HỘI ĐỒNG NHÂN DÂN TỈNH ĐIỆN BIÊN</w:t>
      </w:r>
    </w:p>
    <w:p w:rsidR="002B6E3C" w:rsidRPr="00695AA6" w:rsidRDefault="002B6E3C" w:rsidP="00CA7F28">
      <w:pPr>
        <w:spacing w:after="240"/>
        <w:jc w:val="center"/>
        <w:rPr>
          <w:b/>
        </w:rPr>
      </w:pPr>
      <w:r w:rsidRPr="00695AA6">
        <w:rPr>
          <w:b/>
        </w:rPr>
        <w:t>KHÓA XIV, KỲ HỌP THỨ 16</w:t>
      </w:r>
    </w:p>
    <w:p w:rsidR="002B6E3C" w:rsidRPr="00695AA6" w:rsidRDefault="002B6E3C" w:rsidP="0048294A">
      <w:pPr>
        <w:spacing w:before="40" w:after="40"/>
        <w:ind w:firstLine="720"/>
        <w:jc w:val="both"/>
        <w:rPr>
          <w:i/>
        </w:rPr>
      </w:pPr>
      <w:r w:rsidRPr="00695AA6">
        <w:rPr>
          <w:i/>
          <w:spacing w:val="-6"/>
        </w:rPr>
        <w:t>Căn cứ Luật tổ chức chính quyền địa phương ngày 19 tháng 6 năm 2015</w:t>
      </w:r>
      <w:r w:rsidRPr="00695AA6">
        <w:rPr>
          <w:i/>
        </w:rPr>
        <w:t>;</w:t>
      </w:r>
    </w:p>
    <w:p w:rsidR="002B6E3C" w:rsidRPr="00695AA6" w:rsidRDefault="002B6E3C" w:rsidP="00266AA9">
      <w:pPr>
        <w:spacing w:before="120" w:after="120"/>
        <w:ind w:firstLine="720"/>
        <w:jc w:val="both"/>
        <w:rPr>
          <w:i/>
          <w:iCs/>
          <w:lang w:val="es-ES"/>
        </w:rPr>
      </w:pPr>
      <w:r w:rsidRPr="00695AA6">
        <w:rPr>
          <w:i/>
          <w:iCs/>
          <w:shd w:val="clear" w:color="auto" w:fill="FFFFFF"/>
          <w:lang w:val="es-ES"/>
        </w:rPr>
        <w:t xml:space="preserve">Căn cứ </w:t>
      </w:r>
      <w:r w:rsidRPr="00695AA6">
        <w:rPr>
          <w:i/>
          <w:iCs/>
          <w:shd w:val="clear" w:color="auto" w:fill="FFFFFF"/>
          <w:lang w:val="vi-VN"/>
        </w:rPr>
        <w:t>Luật sửa đổi, bổ sung một s</w:t>
      </w:r>
      <w:r w:rsidRPr="00695AA6">
        <w:rPr>
          <w:i/>
          <w:iCs/>
          <w:shd w:val="clear" w:color="auto" w:fill="FFFFFF"/>
          <w:lang w:val="es-ES"/>
        </w:rPr>
        <w:t>ố </w:t>
      </w:r>
      <w:r w:rsidRPr="00695AA6">
        <w:rPr>
          <w:i/>
          <w:iCs/>
          <w:shd w:val="clear" w:color="auto" w:fill="FFFFFF"/>
          <w:lang w:val="vi-VN"/>
        </w:rPr>
        <w:t>điều của Luật Tổ chức Ch</w:t>
      </w:r>
      <w:r w:rsidRPr="00695AA6">
        <w:rPr>
          <w:i/>
          <w:iCs/>
          <w:shd w:val="clear" w:color="auto" w:fill="FFFFFF"/>
          <w:lang w:val="es-ES"/>
        </w:rPr>
        <w:t>í</w:t>
      </w:r>
      <w:r w:rsidRPr="00695AA6">
        <w:rPr>
          <w:i/>
          <w:iCs/>
          <w:shd w:val="clear" w:color="auto" w:fill="FFFFFF"/>
          <w:lang w:val="vi-VN"/>
        </w:rPr>
        <w:t xml:space="preserve">nh </w:t>
      </w:r>
      <w:r w:rsidRPr="00695AA6">
        <w:rPr>
          <w:i/>
          <w:iCs/>
          <w:shd w:val="clear" w:color="auto" w:fill="FFFFFF"/>
          <w:lang w:val="es-ES"/>
        </w:rPr>
        <w:t xml:space="preserve">phủ </w:t>
      </w:r>
      <w:r w:rsidRPr="00695AA6">
        <w:rPr>
          <w:i/>
          <w:iCs/>
          <w:shd w:val="clear" w:color="auto" w:fill="FFFFFF"/>
          <w:lang w:val="vi-VN"/>
        </w:rPr>
        <w:t xml:space="preserve">và Luật Tổ chức </w:t>
      </w:r>
      <w:r w:rsidRPr="00695AA6">
        <w:rPr>
          <w:i/>
          <w:iCs/>
          <w:shd w:val="clear" w:color="auto" w:fill="FFFFFF"/>
          <w:lang w:val="es-ES"/>
        </w:rPr>
        <w:t>C</w:t>
      </w:r>
      <w:r w:rsidRPr="00695AA6">
        <w:rPr>
          <w:i/>
          <w:iCs/>
          <w:shd w:val="clear" w:color="auto" w:fill="FFFFFF"/>
          <w:lang w:val="vi-VN"/>
        </w:rPr>
        <w:t>h</w:t>
      </w:r>
      <w:r w:rsidRPr="00695AA6">
        <w:rPr>
          <w:i/>
          <w:iCs/>
          <w:shd w:val="clear" w:color="auto" w:fill="FFFFFF"/>
          <w:lang w:val="es-ES"/>
        </w:rPr>
        <w:t>í</w:t>
      </w:r>
      <w:r w:rsidRPr="00695AA6">
        <w:rPr>
          <w:i/>
          <w:iCs/>
          <w:shd w:val="clear" w:color="auto" w:fill="FFFFFF"/>
          <w:lang w:val="vi-VN"/>
        </w:rPr>
        <w:t xml:space="preserve">nh quyền địa phương </w:t>
      </w:r>
      <w:r w:rsidRPr="00695AA6">
        <w:rPr>
          <w:i/>
          <w:iCs/>
          <w:lang w:val="es-ES"/>
        </w:rPr>
        <w:t xml:space="preserve">ngày 22 </w:t>
      </w:r>
      <w:r w:rsidRPr="00695AA6">
        <w:rPr>
          <w:i/>
          <w:spacing w:val="-2"/>
          <w:lang w:val="es-ES"/>
        </w:rPr>
        <w:t xml:space="preserve">tháng 11 năm </w:t>
      </w:r>
      <w:r w:rsidRPr="00695AA6">
        <w:rPr>
          <w:i/>
          <w:iCs/>
          <w:shd w:val="clear" w:color="auto" w:fill="FFFFFF"/>
          <w:lang w:val="vi-VN"/>
        </w:rPr>
        <w:t>201</w:t>
      </w:r>
      <w:r w:rsidRPr="00695AA6">
        <w:rPr>
          <w:i/>
          <w:iCs/>
          <w:shd w:val="clear" w:color="auto" w:fill="FFFFFF"/>
          <w:lang w:val="es-ES"/>
        </w:rPr>
        <w:t>9;</w:t>
      </w:r>
      <w:r w:rsidRPr="00695AA6">
        <w:rPr>
          <w:i/>
          <w:iCs/>
          <w:lang w:val="es-ES"/>
        </w:rPr>
        <w:t xml:space="preserve"> </w:t>
      </w:r>
    </w:p>
    <w:p w:rsidR="002B6E3C" w:rsidRPr="00695AA6" w:rsidRDefault="002B6E3C" w:rsidP="0048294A">
      <w:pPr>
        <w:spacing w:before="40" w:after="40"/>
        <w:jc w:val="both"/>
        <w:rPr>
          <w:i/>
        </w:rPr>
      </w:pPr>
      <w:r w:rsidRPr="00695AA6">
        <w:rPr>
          <w:i/>
        </w:rPr>
        <w:tab/>
        <w:t>Căn cứ Luật ngân sách nhà nước ngày 25 tháng 6 năm 2015;</w:t>
      </w:r>
    </w:p>
    <w:p w:rsidR="002B6E3C" w:rsidRPr="00695AA6" w:rsidRDefault="002B6E3C" w:rsidP="0048294A">
      <w:pPr>
        <w:spacing w:before="40" w:after="40"/>
        <w:ind w:firstLine="720"/>
        <w:jc w:val="both"/>
        <w:rPr>
          <w:bCs/>
          <w:i/>
          <w:lang w:val="nl-NL"/>
        </w:rPr>
      </w:pPr>
      <w:r w:rsidRPr="00695AA6">
        <w:rPr>
          <w:bCs/>
          <w:i/>
          <w:lang w:val="nl-NL"/>
        </w:rPr>
        <w:t>Căn cứ Nghị định số 31/2017/NĐ-CP</w:t>
      </w:r>
      <w:r>
        <w:rPr>
          <w:bCs/>
          <w:i/>
          <w:lang w:val="nl-NL"/>
        </w:rPr>
        <w:t>,</w:t>
      </w:r>
      <w:r w:rsidRPr="00695AA6">
        <w:rPr>
          <w:bCs/>
          <w:i/>
          <w:lang w:val="nl-NL"/>
        </w:rPr>
        <w:t xml:space="preserve"> ngày 23 tháng 3 năm 2017 của Chính phủ ban hành Quy chế lập, thẩm tra, quyết định kế hoạch tài chính 05 năm địa phương, kế hoạch đầu tư công trung hạn 05 năm địa phương, kế hoạch tài chính - ngân sách nhà nước 03 năm địa phương, dự toán và phân bổ ngân sách địa phương, phê chuẩn quyết toán ngân sách địa phương hằng năm;</w:t>
      </w:r>
    </w:p>
    <w:p w:rsidR="002B6E3C" w:rsidRPr="00C063B4" w:rsidRDefault="002B6E3C" w:rsidP="0048294A">
      <w:pPr>
        <w:spacing w:before="40" w:after="40" w:line="288" w:lineRule="auto"/>
        <w:ind w:firstLine="720"/>
        <w:jc w:val="both"/>
        <w:rPr>
          <w:i/>
          <w:spacing w:val="-4"/>
          <w:szCs w:val="20"/>
          <w:lang w:val="nl-NL"/>
        </w:rPr>
      </w:pPr>
      <w:r w:rsidRPr="00305F49">
        <w:rPr>
          <w:bCs/>
          <w:i/>
          <w:spacing w:val="-4"/>
          <w:lang w:val="nl-NL"/>
        </w:rPr>
        <w:t xml:space="preserve">Căn cứ Nghị định số 45/2017/NĐ-CP, </w:t>
      </w:r>
      <w:r w:rsidRPr="00305F49">
        <w:rPr>
          <w:i/>
          <w:iCs/>
          <w:spacing w:val="-4"/>
          <w:szCs w:val="20"/>
          <w:lang w:val="vi-VN"/>
        </w:rPr>
        <w:t>ngày 2</w:t>
      </w:r>
      <w:r w:rsidRPr="00C063B4">
        <w:rPr>
          <w:i/>
          <w:iCs/>
          <w:spacing w:val="-4"/>
          <w:szCs w:val="20"/>
          <w:lang w:val="nl-NL"/>
        </w:rPr>
        <w:t>1</w:t>
      </w:r>
      <w:r w:rsidRPr="00305F49">
        <w:rPr>
          <w:i/>
          <w:iCs/>
          <w:spacing w:val="-4"/>
          <w:szCs w:val="20"/>
          <w:lang w:val="vi-VN"/>
        </w:rPr>
        <w:t xml:space="preserve"> tháng 4 năm 2017</w:t>
      </w:r>
      <w:r w:rsidRPr="00C063B4">
        <w:rPr>
          <w:i/>
          <w:iCs/>
          <w:spacing w:val="-4"/>
          <w:szCs w:val="20"/>
          <w:lang w:val="nl-NL"/>
        </w:rPr>
        <w:t xml:space="preserve"> của Chính phủ </w:t>
      </w:r>
      <w:r w:rsidRPr="00C063B4">
        <w:rPr>
          <w:rFonts w:ascii=".VnTime" w:hAnsi=".VnTime"/>
          <w:i/>
          <w:spacing w:val="-4"/>
          <w:szCs w:val="20"/>
          <w:lang w:val="nl-NL"/>
        </w:rPr>
        <w:t>Q</w:t>
      </w:r>
      <w:r w:rsidRPr="00305F49">
        <w:rPr>
          <w:rFonts w:ascii=".VnTime" w:hAnsi=".VnTime"/>
          <w:i/>
          <w:spacing w:val="-4"/>
          <w:szCs w:val="20"/>
          <w:lang w:val="vi-VN"/>
        </w:rPr>
        <w:t xml:space="preserve">uy </w:t>
      </w:r>
      <w:r w:rsidRPr="00305F49">
        <w:rPr>
          <w:i/>
          <w:spacing w:val="-4"/>
          <w:szCs w:val="20"/>
          <w:lang w:val="vi-VN"/>
        </w:rPr>
        <w:t xml:space="preserve">định chi tiết thi hành một số điều của Luật ngân sách nhà nước về </w:t>
      </w:r>
      <w:r w:rsidRPr="00C063B4">
        <w:rPr>
          <w:i/>
          <w:spacing w:val="-4"/>
          <w:szCs w:val="20"/>
          <w:lang w:val="nl-NL"/>
        </w:rPr>
        <w:t>l</w:t>
      </w:r>
      <w:r w:rsidRPr="00305F49">
        <w:rPr>
          <w:i/>
          <w:spacing w:val="-4"/>
          <w:szCs w:val="20"/>
          <w:lang w:val="vi-VN"/>
        </w:rPr>
        <w:t>ập kế hoạch tài chính 05 năm và lập kế hoạch tài chính - ngân sách nhà nước 03 năm</w:t>
      </w:r>
      <w:r w:rsidRPr="00C063B4">
        <w:rPr>
          <w:i/>
          <w:spacing w:val="-4"/>
          <w:szCs w:val="20"/>
          <w:lang w:val="nl-NL"/>
        </w:rPr>
        <w:t>;</w:t>
      </w:r>
    </w:p>
    <w:p w:rsidR="002B6E3C" w:rsidRPr="00C063B4" w:rsidRDefault="002B6E3C" w:rsidP="0048294A">
      <w:pPr>
        <w:widowControl w:val="0"/>
        <w:spacing w:before="40" w:after="40"/>
        <w:jc w:val="both"/>
        <w:rPr>
          <w:i/>
          <w:lang w:val="nl-NL"/>
        </w:rPr>
      </w:pPr>
      <w:r w:rsidRPr="00C063B4">
        <w:rPr>
          <w:i/>
          <w:lang w:val="nl-NL"/>
        </w:rPr>
        <w:tab/>
        <w:t>Thực hiện Quyết định số 1950/QĐ-TTg, ngày 28 tháng 11 năm 2020 của Thủ tướng Chính phủ về việc giao dự toán ngân sách nhà nước năm 2021;</w:t>
      </w:r>
    </w:p>
    <w:p w:rsidR="002B6E3C" w:rsidRPr="00C063B4" w:rsidRDefault="002B6E3C" w:rsidP="0048294A">
      <w:pPr>
        <w:widowControl w:val="0"/>
        <w:spacing w:before="40" w:after="40"/>
        <w:ind w:firstLine="720"/>
        <w:jc w:val="both"/>
        <w:rPr>
          <w:i/>
          <w:spacing w:val="-4"/>
          <w:lang w:val="nl-NL"/>
        </w:rPr>
      </w:pPr>
      <w:r w:rsidRPr="00C063B4">
        <w:rPr>
          <w:i/>
          <w:spacing w:val="-4"/>
          <w:lang w:val="nl-NL"/>
        </w:rPr>
        <w:t>Thực hiện Quyết định số 2019/QĐ-BTC, ngày 03 tháng 12 năm 2020 của Bộ trưởng Bộ Tài chính về việc giao dự toán thu, chi ngân sách nhà nước năm 2021;</w:t>
      </w:r>
    </w:p>
    <w:p w:rsidR="002B6E3C" w:rsidRPr="00C063B4" w:rsidRDefault="002B6E3C" w:rsidP="0048294A">
      <w:pPr>
        <w:spacing w:before="40" w:after="40"/>
        <w:jc w:val="both"/>
        <w:rPr>
          <w:i/>
          <w:lang w:val="nl-NL"/>
        </w:rPr>
      </w:pPr>
      <w:r w:rsidRPr="00C063B4">
        <w:rPr>
          <w:i/>
          <w:lang w:val="nl-NL"/>
        </w:rPr>
        <w:tab/>
        <w:t>Xét Báo cáo số 387/BC-UBND, ngày 01 tháng 12 năm 2020 của Ủy ban nhân dân tỉnh về Kế hoạch Tài chính 05 năm địa phương giai đoạn 2021-2025; Báo cáo thẩm tra số 87/BC-KTNS, ngày 05 tháng 12 năm 2020 của Ban Kinh tế - Ngân sách Hội đồng nhân dân tỉnh; ý kiến thảo luận của Đại biểu Hội đồng nhân dân tỉnh tại kỳ họp.</w:t>
      </w:r>
    </w:p>
    <w:p w:rsidR="002B6E3C" w:rsidRPr="00C063B4" w:rsidRDefault="002B6E3C" w:rsidP="00695AA6">
      <w:pPr>
        <w:spacing w:before="120" w:after="120"/>
        <w:jc w:val="both"/>
        <w:rPr>
          <w:sz w:val="2"/>
          <w:lang w:val="nl-NL"/>
        </w:rPr>
      </w:pPr>
    </w:p>
    <w:p w:rsidR="002B6E3C" w:rsidRPr="00C063B4" w:rsidRDefault="002B6E3C" w:rsidP="00695AA6">
      <w:pPr>
        <w:spacing w:before="120" w:after="120"/>
        <w:jc w:val="center"/>
        <w:rPr>
          <w:lang w:val="nl-NL"/>
        </w:rPr>
      </w:pPr>
      <w:r w:rsidRPr="00C063B4">
        <w:rPr>
          <w:b/>
          <w:lang w:val="nl-NL"/>
        </w:rPr>
        <w:t>QUYẾT NGHỊ:</w:t>
      </w:r>
    </w:p>
    <w:p w:rsidR="002B6E3C" w:rsidRPr="00C063B4" w:rsidRDefault="002B6E3C" w:rsidP="0048294A">
      <w:pPr>
        <w:spacing w:before="40" w:after="40"/>
        <w:jc w:val="both"/>
        <w:rPr>
          <w:lang w:val="nl-NL"/>
        </w:rPr>
      </w:pPr>
      <w:r w:rsidRPr="00C063B4">
        <w:rPr>
          <w:b/>
          <w:lang w:val="nl-NL"/>
        </w:rPr>
        <w:tab/>
        <w:t>Điều 1</w:t>
      </w:r>
      <w:r w:rsidRPr="00C063B4">
        <w:rPr>
          <w:lang w:val="nl-NL"/>
        </w:rPr>
        <w:t>. Kế hoạch tài chính 05 năm địa phương giai đoạn 2021-2025, cụ thể như sau:</w:t>
      </w:r>
    </w:p>
    <w:p w:rsidR="002B6E3C" w:rsidRPr="00695AA6" w:rsidRDefault="002B6E3C" w:rsidP="0048294A">
      <w:pPr>
        <w:spacing w:before="40" w:after="40" w:line="288" w:lineRule="auto"/>
        <w:ind w:firstLine="720"/>
        <w:jc w:val="both"/>
        <w:rPr>
          <w:b/>
          <w:bCs/>
          <w:lang w:val="nl-NL"/>
        </w:rPr>
      </w:pPr>
      <w:r w:rsidRPr="00695AA6">
        <w:rPr>
          <w:b/>
          <w:bCs/>
          <w:lang w:val="nl-NL"/>
        </w:rPr>
        <w:t>1. Thu NSNN trên địa bàn</w:t>
      </w:r>
    </w:p>
    <w:p w:rsidR="002B6E3C" w:rsidRPr="00695AA6" w:rsidRDefault="002B6E3C" w:rsidP="0048294A">
      <w:pPr>
        <w:spacing w:before="40" w:after="40" w:line="288" w:lineRule="auto"/>
        <w:ind w:firstLine="720"/>
        <w:jc w:val="both"/>
        <w:rPr>
          <w:bCs/>
          <w:lang w:val="nl-NL"/>
        </w:rPr>
      </w:pPr>
      <w:r w:rsidRPr="00695AA6">
        <w:rPr>
          <w:bCs/>
          <w:lang w:val="nl-NL"/>
        </w:rPr>
        <w:t>Tổng thu NSNN địa bàn kế hoạch giai đoạn 8.100 tỷ đồng, trong đó:</w:t>
      </w:r>
    </w:p>
    <w:p w:rsidR="002B6E3C" w:rsidRPr="00695AA6" w:rsidRDefault="002B6E3C" w:rsidP="0048294A">
      <w:pPr>
        <w:spacing w:before="40" w:after="40" w:line="288" w:lineRule="auto"/>
        <w:ind w:firstLine="720"/>
        <w:jc w:val="both"/>
        <w:rPr>
          <w:bCs/>
          <w:lang w:val="nl-NL"/>
        </w:rPr>
      </w:pPr>
      <w:r w:rsidRPr="00695AA6">
        <w:rPr>
          <w:bCs/>
          <w:lang w:val="nl-NL"/>
        </w:rPr>
        <w:t>- Thu nội địa kế hoạch giai đoạn 7.879 tỷ đồng.</w:t>
      </w:r>
    </w:p>
    <w:p w:rsidR="002B6E3C" w:rsidRPr="00695AA6" w:rsidRDefault="002B6E3C" w:rsidP="0048294A">
      <w:pPr>
        <w:spacing w:before="40" w:after="40" w:line="288" w:lineRule="auto"/>
        <w:ind w:firstLine="720"/>
        <w:jc w:val="both"/>
        <w:rPr>
          <w:bCs/>
          <w:lang w:val="nl-NL"/>
        </w:rPr>
      </w:pPr>
      <w:r w:rsidRPr="00695AA6">
        <w:rPr>
          <w:bCs/>
          <w:lang w:val="nl-NL"/>
        </w:rPr>
        <w:t>- Thu từ xuất, nhập khẩu 221 tỷ đồng.</w:t>
      </w:r>
    </w:p>
    <w:p w:rsidR="002B6E3C" w:rsidRPr="00695AA6" w:rsidRDefault="002B6E3C" w:rsidP="0048294A">
      <w:pPr>
        <w:spacing w:before="40" w:after="40" w:line="288" w:lineRule="auto"/>
        <w:ind w:firstLine="720"/>
        <w:jc w:val="both"/>
        <w:rPr>
          <w:b/>
          <w:bCs/>
          <w:lang w:val="nl-NL"/>
        </w:rPr>
      </w:pPr>
      <w:r w:rsidRPr="00695AA6">
        <w:rPr>
          <w:b/>
          <w:bCs/>
          <w:lang w:val="nl-NL"/>
        </w:rPr>
        <w:t>2. Tổng thu ngân sách địa phương</w:t>
      </w:r>
    </w:p>
    <w:p w:rsidR="002B6E3C" w:rsidRPr="00695AA6" w:rsidRDefault="002B6E3C" w:rsidP="0048294A">
      <w:pPr>
        <w:spacing w:before="40" w:after="40" w:line="288" w:lineRule="auto"/>
        <w:ind w:firstLine="720"/>
        <w:jc w:val="both"/>
        <w:rPr>
          <w:bCs/>
          <w:spacing w:val="-4"/>
          <w:lang w:val="nl-NL"/>
        </w:rPr>
      </w:pPr>
      <w:r w:rsidRPr="00695AA6">
        <w:rPr>
          <w:bCs/>
          <w:spacing w:val="-4"/>
          <w:lang w:val="nl-NL"/>
        </w:rPr>
        <w:t>Tổng thu ngân sách địa phương kế hoạch giai đoạn 58.500 tỷ đồng, trong đó:</w:t>
      </w:r>
    </w:p>
    <w:p w:rsidR="002B6E3C" w:rsidRPr="00695AA6" w:rsidRDefault="002B6E3C" w:rsidP="0048294A">
      <w:pPr>
        <w:spacing w:before="40" w:after="40" w:line="288" w:lineRule="auto"/>
        <w:ind w:firstLine="720"/>
        <w:jc w:val="both"/>
        <w:rPr>
          <w:bCs/>
          <w:lang w:val="nl-NL"/>
        </w:rPr>
      </w:pPr>
      <w:r w:rsidRPr="00695AA6">
        <w:rPr>
          <w:bCs/>
          <w:lang w:val="nl-NL"/>
        </w:rPr>
        <w:lastRenderedPageBreak/>
        <w:t>- Thu NSĐP được hưởng theo phân cấp: 7.011 tỷ đồng.</w:t>
      </w:r>
    </w:p>
    <w:p w:rsidR="002B6E3C" w:rsidRPr="00695AA6" w:rsidRDefault="002B6E3C" w:rsidP="0048294A">
      <w:pPr>
        <w:spacing w:before="40" w:after="40" w:line="288" w:lineRule="auto"/>
        <w:ind w:firstLine="720"/>
        <w:jc w:val="both"/>
        <w:rPr>
          <w:bCs/>
          <w:lang w:val="nl-NL"/>
        </w:rPr>
      </w:pPr>
      <w:r w:rsidRPr="00695AA6">
        <w:rPr>
          <w:bCs/>
          <w:lang w:val="nl-NL"/>
        </w:rPr>
        <w:t>- Thu bổ sung từ ngân sách cấp trên: 51.489 tỷ đồng.</w:t>
      </w:r>
    </w:p>
    <w:p w:rsidR="002B6E3C" w:rsidRPr="00695AA6" w:rsidRDefault="002B6E3C" w:rsidP="0048294A">
      <w:pPr>
        <w:spacing w:before="40" w:after="40" w:line="288" w:lineRule="auto"/>
        <w:ind w:firstLine="720"/>
        <w:jc w:val="both"/>
        <w:rPr>
          <w:b/>
          <w:bCs/>
          <w:lang w:val="nl-NL"/>
        </w:rPr>
      </w:pPr>
      <w:r w:rsidRPr="00695AA6">
        <w:rPr>
          <w:b/>
          <w:bCs/>
          <w:lang w:val="nl-NL"/>
        </w:rPr>
        <w:t>3. Tổng chi ngân sách địa phương</w:t>
      </w:r>
    </w:p>
    <w:p w:rsidR="002B6E3C" w:rsidRPr="00695AA6" w:rsidRDefault="002B6E3C" w:rsidP="0048294A">
      <w:pPr>
        <w:spacing w:before="40" w:after="40" w:line="288" w:lineRule="auto"/>
        <w:ind w:firstLine="720"/>
        <w:jc w:val="both"/>
        <w:rPr>
          <w:bCs/>
          <w:spacing w:val="-4"/>
          <w:lang w:val="nl-NL"/>
        </w:rPr>
      </w:pPr>
      <w:r w:rsidRPr="00695AA6">
        <w:rPr>
          <w:bCs/>
          <w:spacing w:val="-4"/>
          <w:lang w:val="nl-NL"/>
        </w:rPr>
        <w:t>Tổng chi ngân sách địa phương kế hoạch giai đoạn 58.800 tỷ đồng, trong đó:</w:t>
      </w:r>
    </w:p>
    <w:p w:rsidR="002B6E3C" w:rsidRPr="00695AA6" w:rsidRDefault="002B6E3C" w:rsidP="0048294A">
      <w:pPr>
        <w:spacing w:before="40" w:after="40" w:line="288" w:lineRule="auto"/>
        <w:ind w:firstLine="720"/>
        <w:jc w:val="both"/>
        <w:rPr>
          <w:bCs/>
          <w:lang w:val="nl-NL"/>
        </w:rPr>
      </w:pPr>
      <w:r w:rsidRPr="00695AA6">
        <w:rPr>
          <w:bCs/>
          <w:lang w:val="nl-NL"/>
        </w:rPr>
        <w:t>- Chi đầu tư phát triển: 16.730 tỷ đồng.</w:t>
      </w:r>
    </w:p>
    <w:p w:rsidR="002B6E3C" w:rsidRPr="00695AA6" w:rsidRDefault="002B6E3C" w:rsidP="0048294A">
      <w:pPr>
        <w:spacing w:before="40" w:after="40" w:line="288" w:lineRule="auto"/>
        <w:ind w:firstLine="720"/>
        <w:jc w:val="both"/>
        <w:rPr>
          <w:bCs/>
          <w:lang w:val="nl-NL"/>
        </w:rPr>
      </w:pPr>
      <w:r w:rsidRPr="00695AA6">
        <w:rPr>
          <w:bCs/>
          <w:lang w:val="nl-NL"/>
        </w:rPr>
        <w:t>- Chi thường xuyên: 41.252 tỷ đồng.</w:t>
      </w:r>
    </w:p>
    <w:p w:rsidR="002B6E3C" w:rsidRPr="00695AA6" w:rsidRDefault="002B6E3C" w:rsidP="0048294A">
      <w:pPr>
        <w:spacing w:before="40" w:after="40" w:line="288" w:lineRule="auto"/>
        <w:ind w:firstLine="720"/>
        <w:jc w:val="both"/>
        <w:rPr>
          <w:bCs/>
          <w:lang w:val="nl-NL"/>
        </w:rPr>
      </w:pPr>
      <w:r w:rsidRPr="00695AA6">
        <w:rPr>
          <w:bCs/>
          <w:lang w:val="nl-NL"/>
        </w:rPr>
        <w:t>- Chi trả nợ lãi, phí vốn vay nước ngoài: 15 tỷ đồng.</w:t>
      </w:r>
    </w:p>
    <w:p w:rsidR="002B6E3C" w:rsidRPr="00695AA6" w:rsidRDefault="002B6E3C" w:rsidP="0048294A">
      <w:pPr>
        <w:spacing w:before="40" w:after="40" w:line="288" w:lineRule="auto"/>
        <w:ind w:firstLine="720"/>
        <w:jc w:val="both"/>
        <w:rPr>
          <w:b/>
          <w:bCs/>
          <w:lang w:val="nl-NL"/>
        </w:rPr>
      </w:pPr>
      <w:r w:rsidRPr="00695AA6">
        <w:rPr>
          <w:b/>
          <w:bCs/>
          <w:lang w:val="nl-NL"/>
        </w:rPr>
        <w:t>4. Mức vay, trả nợ ngân sách địa phương</w:t>
      </w:r>
    </w:p>
    <w:p w:rsidR="002B6E3C" w:rsidRPr="00695AA6" w:rsidRDefault="002B6E3C" w:rsidP="0048294A">
      <w:pPr>
        <w:spacing w:before="40" w:after="40" w:line="288" w:lineRule="auto"/>
        <w:ind w:firstLine="720"/>
        <w:jc w:val="both"/>
        <w:rPr>
          <w:bCs/>
          <w:lang w:val="nl-NL"/>
        </w:rPr>
      </w:pPr>
      <w:r w:rsidRPr="00695AA6">
        <w:rPr>
          <w:bCs/>
          <w:lang w:val="nl-NL"/>
        </w:rPr>
        <w:t>- Kế hoạch dư nợ đầu kỳ 01/01/2021: 97,8 tỷ đồng.</w:t>
      </w:r>
    </w:p>
    <w:p w:rsidR="002B6E3C" w:rsidRPr="00695AA6" w:rsidRDefault="002B6E3C" w:rsidP="0048294A">
      <w:pPr>
        <w:spacing w:before="40" w:after="40" w:line="288" w:lineRule="auto"/>
        <w:ind w:firstLine="720"/>
        <w:jc w:val="both"/>
        <w:rPr>
          <w:bCs/>
          <w:lang w:val="nl-NL"/>
        </w:rPr>
      </w:pPr>
      <w:r w:rsidRPr="00695AA6">
        <w:rPr>
          <w:bCs/>
          <w:lang w:val="nl-NL"/>
        </w:rPr>
        <w:t>- Trả nợ gốc trong kỳ ước thực hiện: 50 tỷ đồng.</w:t>
      </w:r>
    </w:p>
    <w:p w:rsidR="002B6E3C" w:rsidRPr="00695AA6" w:rsidRDefault="002B6E3C" w:rsidP="0048294A">
      <w:pPr>
        <w:spacing w:before="40" w:after="40" w:line="288" w:lineRule="auto"/>
        <w:ind w:firstLine="720"/>
        <w:jc w:val="both"/>
        <w:rPr>
          <w:bCs/>
          <w:lang w:val="nl-NL"/>
        </w:rPr>
      </w:pPr>
      <w:r w:rsidRPr="00695AA6">
        <w:rPr>
          <w:bCs/>
          <w:lang w:val="nl-NL"/>
        </w:rPr>
        <w:t>- Vay trong kỳ ước thực hiện: 350 tỷ đồng.</w:t>
      </w:r>
    </w:p>
    <w:p w:rsidR="002B6E3C" w:rsidRPr="00695AA6" w:rsidRDefault="002B6E3C" w:rsidP="0048294A">
      <w:pPr>
        <w:spacing w:before="40" w:after="40" w:line="288" w:lineRule="auto"/>
        <w:ind w:firstLine="720"/>
        <w:jc w:val="both"/>
        <w:rPr>
          <w:bCs/>
          <w:lang w:val="nl-NL"/>
        </w:rPr>
      </w:pPr>
      <w:r w:rsidRPr="00695AA6">
        <w:rPr>
          <w:bCs/>
          <w:lang w:val="nl-NL"/>
        </w:rPr>
        <w:t>- Dư nợ cuối kỳ 31/12/2025: 398 tỷ đồng.</w:t>
      </w:r>
    </w:p>
    <w:p w:rsidR="002B6E3C" w:rsidRPr="00695AA6" w:rsidRDefault="002B6E3C" w:rsidP="0048294A">
      <w:pPr>
        <w:spacing w:before="40" w:after="40" w:line="288" w:lineRule="auto"/>
        <w:ind w:firstLine="720"/>
        <w:jc w:val="both"/>
        <w:rPr>
          <w:bCs/>
          <w:lang w:val="nl-NL"/>
        </w:rPr>
      </w:pPr>
      <w:r w:rsidRPr="00695AA6">
        <w:rPr>
          <w:bCs/>
          <w:lang w:val="nl-NL"/>
        </w:rPr>
        <w:t>- Bội chi ngân sách cả giai đoạn 300 tỷ đồng</w:t>
      </w:r>
      <w:r>
        <w:rPr>
          <w:bCs/>
          <w:lang w:val="nl-NL"/>
        </w:rPr>
        <w:t>.</w:t>
      </w:r>
    </w:p>
    <w:p w:rsidR="002B6E3C" w:rsidRPr="00C063B4" w:rsidRDefault="002B6E3C" w:rsidP="0048294A">
      <w:pPr>
        <w:spacing w:before="40" w:after="40"/>
        <w:jc w:val="both"/>
        <w:rPr>
          <w:i/>
          <w:lang w:val="nl-NL"/>
        </w:rPr>
      </w:pPr>
      <w:r w:rsidRPr="00C063B4">
        <w:rPr>
          <w:lang w:val="nl-NL"/>
        </w:rPr>
        <w:tab/>
      </w:r>
      <w:r w:rsidRPr="00C063B4">
        <w:rPr>
          <w:i/>
          <w:lang w:val="nl-NL"/>
        </w:rPr>
        <w:t xml:space="preserve">(Chi tiết  theo các Biểu số 02, Nghị định số 31/2017/NĐ-CP kèm theo). </w:t>
      </w:r>
    </w:p>
    <w:p w:rsidR="002B6E3C" w:rsidRPr="00C063B4" w:rsidRDefault="002B6E3C" w:rsidP="0048294A">
      <w:pPr>
        <w:spacing w:before="40" w:after="40"/>
        <w:jc w:val="both"/>
        <w:rPr>
          <w:lang w:val="nl-NL"/>
        </w:rPr>
      </w:pPr>
      <w:r w:rsidRPr="00C063B4">
        <w:rPr>
          <w:b/>
          <w:lang w:val="nl-NL"/>
        </w:rPr>
        <w:tab/>
        <w:t>Điều 2</w:t>
      </w:r>
      <w:r w:rsidRPr="00C063B4">
        <w:rPr>
          <w:lang w:val="nl-NL"/>
        </w:rPr>
        <w:t xml:space="preserve">. Giao Ủy ban nhân dân tỉnh có trách nhiệm chỉ đạo, điều hành kế hoạch tài chính 05 địa phương giai đoạn 2021-2025 theo Nghị quyết này, đảm bảo đúng chế độ, chính sách và các quy định hiện hành của Nhà nước. </w:t>
      </w:r>
    </w:p>
    <w:p w:rsidR="002B6E3C" w:rsidRPr="00C063B4" w:rsidRDefault="002B6E3C" w:rsidP="0048294A">
      <w:pPr>
        <w:spacing w:before="40" w:after="40"/>
        <w:jc w:val="both"/>
        <w:rPr>
          <w:lang w:val="nl-NL"/>
        </w:rPr>
      </w:pPr>
      <w:r w:rsidRPr="00C063B4">
        <w:rPr>
          <w:lang w:val="nl-NL"/>
        </w:rPr>
        <w:t xml:space="preserve">       </w:t>
      </w:r>
      <w:r w:rsidRPr="00C063B4">
        <w:rPr>
          <w:lang w:val="nl-NL"/>
        </w:rPr>
        <w:tab/>
        <w:t>Trong quá trình điều hành ngân sách có vấn đề phát sinh cần giải quyết, giao Thường trực Hội đồng nhân dân tỉnh cùng Ủy ban nhân dân tỉnh xem xét, xử lý và báo cáo Hội đồng nhân dân tỉnh tại kỳ họp gần nhất.</w:t>
      </w:r>
    </w:p>
    <w:p w:rsidR="002B6E3C" w:rsidRPr="00C063B4" w:rsidRDefault="002B6E3C" w:rsidP="0048294A">
      <w:pPr>
        <w:spacing w:before="40" w:after="40"/>
        <w:jc w:val="both"/>
        <w:rPr>
          <w:lang w:val="nl-NL"/>
        </w:rPr>
      </w:pPr>
      <w:r w:rsidRPr="00C063B4">
        <w:rPr>
          <w:b/>
          <w:lang w:val="nl-NL"/>
        </w:rPr>
        <w:t xml:space="preserve">     </w:t>
      </w:r>
      <w:r w:rsidRPr="00C063B4">
        <w:rPr>
          <w:b/>
          <w:lang w:val="nl-NL"/>
        </w:rPr>
        <w:tab/>
        <w:t xml:space="preserve">Điều 3. </w:t>
      </w:r>
      <w:r w:rsidRPr="00695AA6">
        <w:rPr>
          <w:lang w:val="vi-VN"/>
        </w:rPr>
        <w:t>Giao thường trực Hội đồng nhân dân tỉnh, các ban của Hội đồng nhân dân tỉnh, các Tổ đại biểu Hội đồng nhân dân và Đại biểu Hội đồng nhân dân tỉnh giám sát việc thực hiện Nghị quyết</w:t>
      </w:r>
      <w:r w:rsidRPr="00C063B4">
        <w:rPr>
          <w:lang w:val="nl-NL"/>
        </w:rPr>
        <w:t>.</w:t>
      </w:r>
    </w:p>
    <w:p w:rsidR="002B6E3C" w:rsidRPr="00C063B4" w:rsidRDefault="002B6E3C" w:rsidP="0048294A">
      <w:pPr>
        <w:spacing w:before="40" w:after="40"/>
        <w:jc w:val="both"/>
        <w:rPr>
          <w:lang w:val="nl-NL"/>
        </w:rPr>
      </w:pPr>
      <w:r w:rsidRPr="00C063B4">
        <w:rPr>
          <w:lang w:val="nl-NL"/>
        </w:rPr>
        <w:tab/>
      </w:r>
      <w:r w:rsidRPr="00C063B4">
        <w:rPr>
          <w:b/>
          <w:lang w:val="nl-NL"/>
        </w:rPr>
        <w:t xml:space="preserve">Điều 4. </w:t>
      </w:r>
      <w:r w:rsidRPr="00C063B4">
        <w:rPr>
          <w:lang w:val="nl-NL"/>
        </w:rPr>
        <w:t xml:space="preserve">Nghị quyết này có hiệu lực thi hành kể từ ngày được Hội đồng nhân </w:t>
      </w:r>
      <w:r w:rsidRPr="00C063B4">
        <w:rPr>
          <w:color w:val="0000FF"/>
          <w:lang w:val="nl-NL"/>
        </w:rPr>
        <w:t>dân</w:t>
      </w:r>
      <w:r w:rsidRPr="00C063B4">
        <w:rPr>
          <w:lang w:val="nl-NL"/>
        </w:rPr>
        <w:t xml:space="preserve"> tỉnh thông qua.</w:t>
      </w:r>
    </w:p>
    <w:p w:rsidR="002B6E3C" w:rsidRPr="00C063B4" w:rsidRDefault="002B6E3C" w:rsidP="00190C0F">
      <w:pPr>
        <w:spacing w:before="40" w:after="240"/>
        <w:jc w:val="both"/>
        <w:rPr>
          <w:i/>
          <w:lang w:val="nl-NL"/>
        </w:rPr>
      </w:pPr>
      <w:r w:rsidRPr="00C063B4">
        <w:rPr>
          <w:lang w:val="nl-NL"/>
        </w:rPr>
        <w:t xml:space="preserve">       </w:t>
      </w:r>
      <w:r w:rsidRPr="00C063B4">
        <w:rPr>
          <w:lang w:val="nl-NL"/>
        </w:rPr>
        <w:tab/>
      </w:r>
      <w:r w:rsidRPr="00C063B4">
        <w:rPr>
          <w:i/>
          <w:lang w:val="nl-NL"/>
        </w:rPr>
        <w:t>Nghị quyết này được Hội đồng nhân tỉnh Điện Biên khóa XIV, kỳ họp thứ 16  thông qua ngày 08 tháng 12  năm 2020./.</w:t>
      </w:r>
    </w:p>
    <w:p w:rsidR="002B6E3C" w:rsidRPr="00C063B4" w:rsidRDefault="002B6E3C" w:rsidP="00B143C9">
      <w:pPr>
        <w:spacing w:before="120"/>
        <w:jc w:val="both"/>
        <w:rPr>
          <w:sz w:val="6"/>
          <w:lang w:val="nl-NL"/>
        </w:rPr>
      </w:pPr>
    </w:p>
    <w:tbl>
      <w:tblPr>
        <w:tblW w:w="9354" w:type="dxa"/>
        <w:tblLook w:val="01E0" w:firstRow="1" w:lastRow="1" w:firstColumn="1" w:lastColumn="1" w:noHBand="0" w:noVBand="0"/>
      </w:tblPr>
      <w:tblGrid>
        <w:gridCol w:w="4597"/>
        <w:gridCol w:w="402"/>
        <w:gridCol w:w="4355"/>
      </w:tblGrid>
      <w:tr w:rsidR="002B6E3C" w:rsidRPr="00695AA6" w:rsidTr="00054E2E">
        <w:tc>
          <w:tcPr>
            <w:tcW w:w="4597" w:type="dxa"/>
          </w:tcPr>
          <w:p w:rsidR="002B6E3C" w:rsidRPr="00695AA6" w:rsidRDefault="002B6E3C" w:rsidP="00926EC5">
            <w:pPr>
              <w:jc w:val="both"/>
              <w:rPr>
                <w:b/>
                <w:i/>
                <w:sz w:val="24"/>
                <w:szCs w:val="24"/>
              </w:rPr>
            </w:pPr>
            <w:r w:rsidRPr="00695AA6">
              <w:rPr>
                <w:b/>
                <w:i/>
                <w:sz w:val="24"/>
                <w:szCs w:val="24"/>
              </w:rPr>
              <w:t>Nơi nhận:</w:t>
            </w:r>
          </w:p>
          <w:p w:rsidR="002B6E3C" w:rsidRPr="00414DDC" w:rsidRDefault="002B6E3C" w:rsidP="003D51B1">
            <w:pPr>
              <w:numPr>
                <w:ilvl w:val="0"/>
                <w:numId w:val="1"/>
              </w:numPr>
              <w:tabs>
                <w:tab w:val="clear" w:pos="435"/>
              </w:tabs>
              <w:ind w:left="108" w:hanging="108"/>
              <w:jc w:val="both"/>
              <w:rPr>
                <w:sz w:val="22"/>
                <w:szCs w:val="22"/>
              </w:rPr>
            </w:pPr>
            <w:r w:rsidRPr="00414DDC">
              <w:rPr>
                <w:sz w:val="22"/>
                <w:szCs w:val="22"/>
              </w:rPr>
              <w:t>UBTV Quốc hội;</w:t>
            </w:r>
          </w:p>
          <w:p w:rsidR="002B6E3C" w:rsidRPr="00414DDC" w:rsidRDefault="002B6E3C" w:rsidP="003D51B1">
            <w:pPr>
              <w:numPr>
                <w:ilvl w:val="0"/>
                <w:numId w:val="1"/>
              </w:numPr>
              <w:tabs>
                <w:tab w:val="clear" w:pos="435"/>
              </w:tabs>
              <w:ind w:left="108" w:hanging="108"/>
              <w:jc w:val="both"/>
              <w:rPr>
                <w:sz w:val="22"/>
                <w:szCs w:val="22"/>
              </w:rPr>
            </w:pPr>
            <w:r w:rsidRPr="00414DDC">
              <w:rPr>
                <w:sz w:val="22"/>
                <w:szCs w:val="22"/>
              </w:rPr>
              <w:t>Chính phủ;</w:t>
            </w:r>
          </w:p>
          <w:p w:rsidR="002B6E3C" w:rsidRPr="00414DDC" w:rsidRDefault="002B6E3C" w:rsidP="003D51B1">
            <w:pPr>
              <w:numPr>
                <w:ilvl w:val="0"/>
                <w:numId w:val="1"/>
              </w:numPr>
              <w:tabs>
                <w:tab w:val="clear" w:pos="435"/>
              </w:tabs>
              <w:ind w:left="108" w:hanging="108"/>
              <w:jc w:val="both"/>
              <w:rPr>
                <w:sz w:val="22"/>
                <w:szCs w:val="22"/>
              </w:rPr>
            </w:pPr>
            <w:r w:rsidRPr="00414DDC">
              <w:rPr>
                <w:sz w:val="22"/>
                <w:szCs w:val="22"/>
              </w:rPr>
              <w:t>Bộ Tài chính;</w:t>
            </w:r>
          </w:p>
          <w:p w:rsidR="002B6E3C" w:rsidRDefault="002B6E3C" w:rsidP="003D51B1">
            <w:pPr>
              <w:numPr>
                <w:ilvl w:val="0"/>
                <w:numId w:val="1"/>
              </w:numPr>
              <w:tabs>
                <w:tab w:val="clear" w:pos="435"/>
              </w:tabs>
              <w:ind w:left="108" w:hanging="108"/>
              <w:jc w:val="both"/>
              <w:rPr>
                <w:sz w:val="22"/>
                <w:szCs w:val="22"/>
              </w:rPr>
            </w:pPr>
            <w:r w:rsidRPr="00414DDC">
              <w:rPr>
                <w:sz w:val="22"/>
                <w:szCs w:val="22"/>
              </w:rPr>
              <w:t>TT Tỉnh ủ</w:t>
            </w:r>
            <w:r>
              <w:rPr>
                <w:sz w:val="22"/>
                <w:szCs w:val="22"/>
              </w:rPr>
              <w:t xml:space="preserve">y, HĐND, </w:t>
            </w:r>
            <w:r w:rsidRPr="00414DDC">
              <w:rPr>
                <w:sz w:val="22"/>
                <w:szCs w:val="22"/>
              </w:rPr>
              <w:t>UBND tỉnh;</w:t>
            </w:r>
          </w:p>
          <w:p w:rsidR="002B6E3C" w:rsidRPr="00845E13" w:rsidRDefault="002B6E3C" w:rsidP="00414DDC">
            <w:pPr>
              <w:ind w:right="-142"/>
              <w:jc w:val="both"/>
              <w:rPr>
                <w:bCs/>
                <w:sz w:val="22"/>
                <w:lang w:val="es-ES"/>
              </w:rPr>
            </w:pPr>
            <w:r>
              <w:rPr>
                <w:sz w:val="22"/>
                <w:szCs w:val="22"/>
                <w:lang w:val="es-ES"/>
              </w:rPr>
              <w:t>- Ủy</w:t>
            </w:r>
            <w:r w:rsidRPr="00845E13">
              <w:rPr>
                <w:sz w:val="22"/>
                <w:szCs w:val="22"/>
                <w:lang w:val="es-ES"/>
              </w:rPr>
              <w:t xml:space="preserve"> ban MTTQ Việt Nam tỉnh;</w:t>
            </w:r>
          </w:p>
          <w:p w:rsidR="002B6E3C" w:rsidRPr="00414DDC" w:rsidRDefault="002B6E3C" w:rsidP="003D51B1">
            <w:pPr>
              <w:widowControl w:val="0"/>
              <w:ind w:right="-142"/>
              <w:jc w:val="both"/>
              <w:rPr>
                <w:sz w:val="22"/>
                <w:szCs w:val="22"/>
                <w:lang w:val="es-ES"/>
              </w:rPr>
            </w:pPr>
            <w:r w:rsidRPr="00414DDC">
              <w:rPr>
                <w:sz w:val="22"/>
                <w:szCs w:val="22"/>
                <w:lang w:val="es-ES"/>
              </w:rPr>
              <w:t>- Đại biểu Quốc hội, đại biểu HĐND tỉnh;</w:t>
            </w:r>
          </w:p>
          <w:p w:rsidR="002B6E3C" w:rsidRPr="00C063B4" w:rsidRDefault="002B6E3C" w:rsidP="003D51B1">
            <w:pPr>
              <w:numPr>
                <w:ilvl w:val="0"/>
                <w:numId w:val="1"/>
              </w:numPr>
              <w:tabs>
                <w:tab w:val="clear" w:pos="435"/>
              </w:tabs>
              <w:ind w:left="108" w:hanging="108"/>
              <w:jc w:val="both"/>
              <w:rPr>
                <w:sz w:val="22"/>
                <w:szCs w:val="22"/>
                <w:lang w:val="es-ES"/>
              </w:rPr>
            </w:pPr>
            <w:r w:rsidRPr="00C063B4">
              <w:rPr>
                <w:sz w:val="22"/>
                <w:szCs w:val="22"/>
                <w:lang w:val="es-ES"/>
              </w:rPr>
              <w:t>Các Sở, Ban, Ngành, Đoàn thể tỉnh;</w:t>
            </w:r>
          </w:p>
          <w:p w:rsidR="002B6E3C" w:rsidRPr="00C063B4" w:rsidRDefault="002B6E3C" w:rsidP="003D51B1">
            <w:pPr>
              <w:numPr>
                <w:ilvl w:val="0"/>
                <w:numId w:val="1"/>
              </w:numPr>
              <w:tabs>
                <w:tab w:val="clear" w:pos="435"/>
              </w:tabs>
              <w:ind w:left="108" w:hanging="108"/>
              <w:jc w:val="both"/>
              <w:rPr>
                <w:sz w:val="22"/>
                <w:szCs w:val="22"/>
                <w:lang w:val="es-ES"/>
              </w:rPr>
            </w:pPr>
            <w:r w:rsidRPr="00C063B4">
              <w:rPr>
                <w:sz w:val="22"/>
                <w:szCs w:val="22"/>
                <w:lang w:val="es-ES"/>
              </w:rPr>
              <w:t>TT HĐND-UBND các huyện, thị xã, thành phố;</w:t>
            </w:r>
          </w:p>
          <w:p w:rsidR="002B6E3C" w:rsidRPr="00414DDC" w:rsidRDefault="002B6E3C" w:rsidP="00B27CD9">
            <w:pPr>
              <w:numPr>
                <w:ilvl w:val="0"/>
                <w:numId w:val="1"/>
              </w:numPr>
              <w:tabs>
                <w:tab w:val="clear" w:pos="435"/>
              </w:tabs>
              <w:ind w:left="108" w:hanging="108"/>
              <w:jc w:val="both"/>
              <w:rPr>
                <w:sz w:val="22"/>
                <w:szCs w:val="22"/>
              </w:rPr>
            </w:pPr>
            <w:r w:rsidRPr="00414DDC">
              <w:rPr>
                <w:sz w:val="22"/>
                <w:szCs w:val="22"/>
              </w:rPr>
              <w:t>Báo Điện Biên Phủ;</w:t>
            </w:r>
          </w:p>
          <w:p w:rsidR="002B6E3C" w:rsidRPr="00414DDC" w:rsidRDefault="002B6E3C" w:rsidP="003D51B1">
            <w:pPr>
              <w:widowControl w:val="0"/>
              <w:ind w:right="-142"/>
              <w:jc w:val="both"/>
              <w:rPr>
                <w:sz w:val="22"/>
                <w:szCs w:val="22"/>
                <w:lang w:val="es-ES"/>
              </w:rPr>
            </w:pPr>
            <w:r w:rsidRPr="00414DDC">
              <w:rPr>
                <w:sz w:val="22"/>
                <w:szCs w:val="22"/>
                <w:lang w:val="es-ES"/>
              </w:rPr>
              <w:t>- Lãnh đạo, CV VPHĐND tỉnh;</w:t>
            </w:r>
          </w:p>
          <w:p w:rsidR="002B6E3C" w:rsidRPr="00695AA6" w:rsidRDefault="002B6E3C" w:rsidP="003D51B1">
            <w:pPr>
              <w:jc w:val="both"/>
            </w:pPr>
            <w:r w:rsidRPr="00414DDC">
              <w:rPr>
                <w:sz w:val="22"/>
                <w:szCs w:val="22"/>
              </w:rPr>
              <w:t>- Lưu: VT, CV HĐND.</w:t>
            </w:r>
          </w:p>
        </w:tc>
        <w:tc>
          <w:tcPr>
            <w:tcW w:w="402" w:type="dxa"/>
          </w:tcPr>
          <w:p w:rsidR="002B6E3C" w:rsidRPr="00695AA6" w:rsidRDefault="002B6E3C" w:rsidP="00054E2E">
            <w:pPr>
              <w:jc w:val="both"/>
            </w:pPr>
          </w:p>
        </w:tc>
        <w:tc>
          <w:tcPr>
            <w:tcW w:w="4355" w:type="dxa"/>
          </w:tcPr>
          <w:p w:rsidR="002B6E3C" w:rsidRPr="00695AA6" w:rsidRDefault="002B6E3C" w:rsidP="00F828F8">
            <w:pPr>
              <w:rPr>
                <w:b/>
              </w:rPr>
            </w:pPr>
            <w:r w:rsidRPr="00695AA6">
              <w:rPr>
                <w:b/>
              </w:rPr>
              <w:t xml:space="preserve">                </w:t>
            </w:r>
            <w:r w:rsidRPr="00695AA6">
              <w:rPr>
                <w:b/>
                <w:sz w:val="26"/>
              </w:rPr>
              <w:t>CHỦ TỊCH</w:t>
            </w:r>
          </w:p>
          <w:p w:rsidR="002B6E3C" w:rsidRPr="00695AA6" w:rsidRDefault="002B6E3C" w:rsidP="00054E2E">
            <w:pPr>
              <w:jc w:val="center"/>
              <w:rPr>
                <w:b/>
              </w:rPr>
            </w:pPr>
          </w:p>
          <w:p w:rsidR="002B6E3C" w:rsidRPr="00695AA6" w:rsidRDefault="002B6E3C" w:rsidP="00054E2E">
            <w:pPr>
              <w:jc w:val="center"/>
              <w:rPr>
                <w:b/>
              </w:rPr>
            </w:pPr>
          </w:p>
          <w:p w:rsidR="002B6E3C" w:rsidRPr="009538CC" w:rsidRDefault="009538CC" w:rsidP="00054E2E">
            <w:pPr>
              <w:jc w:val="center"/>
              <w:rPr>
                <w:i/>
              </w:rPr>
            </w:pPr>
            <w:bookmarkStart w:id="0" w:name="_GoBack"/>
            <w:r w:rsidRPr="009538CC">
              <w:rPr>
                <w:i/>
              </w:rPr>
              <w:t>(Đã ký)</w:t>
            </w:r>
          </w:p>
          <w:bookmarkEnd w:id="0"/>
          <w:p w:rsidR="002B6E3C" w:rsidRPr="00695AA6" w:rsidRDefault="002B6E3C" w:rsidP="00054E2E">
            <w:pPr>
              <w:jc w:val="center"/>
              <w:rPr>
                <w:b/>
              </w:rPr>
            </w:pPr>
          </w:p>
          <w:p w:rsidR="002B6E3C" w:rsidRPr="00695AA6" w:rsidRDefault="002B6E3C" w:rsidP="00054E2E">
            <w:pPr>
              <w:jc w:val="center"/>
              <w:rPr>
                <w:b/>
              </w:rPr>
            </w:pPr>
          </w:p>
          <w:p w:rsidR="002B6E3C" w:rsidRPr="00695AA6" w:rsidRDefault="002B6E3C" w:rsidP="00054E2E">
            <w:pPr>
              <w:jc w:val="center"/>
              <w:rPr>
                <w:b/>
              </w:rPr>
            </w:pPr>
          </w:p>
          <w:p w:rsidR="002B6E3C" w:rsidRPr="00695AA6" w:rsidRDefault="002B6E3C" w:rsidP="00054E2E">
            <w:pPr>
              <w:jc w:val="center"/>
              <w:rPr>
                <w:b/>
              </w:rPr>
            </w:pPr>
          </w:p>
          <w:p w:rsidR="002B6E3C" w:rsidRPr="00695AA6" w:rsidRDefault="002B6E3C" w:rsidP="0084413D">
            <w:pPr>
              <w:rPr>
                <w:b/>
                <w:sz w:val="22"/>
              </w:rPr>
            </w:pPr>
            <w:r w:rsidRPr="00695AA6">
              <w:rPr>
                <w:b/>
              </w:rPr>
              <w:t xml:space="preserve">              Lò Văn Muôn</w:t>
            </w:r>
          </w:p>
        </w:tc>
      </w:tr>
    </w:tbl>
    <w:p w:rsidR="002B6E3C" w:rsidRPr="00695AA6" w:rsidRDefault="002B6E3C" w:rsidP="00B143C9"/>
    <w:p w:rsidR="002B6E3C" w:rsidRPr="00695AA6" w:rsidRDefault="002B6E3C"/>
    <w:sectPr w:rsidR="002B6E3C" w:rsidRPr="00695AA6" w:rsidSect="00190C0F">
      <w:headerReference w:type="even" r:id="rId7"/>
      <w:headerReference w:type="default" r:id="rId8"/>
      <w:footerReference w:type="even" r:id="rId9"/>
      <w:footerReference w:type="default" r:id="rId10"/>
      <w:pgSz w:w="11907" w:h="16840" w:code="9"/>
      <w:pgMar w:top="899" w:right="965" w:bottom="899" w:left="1642"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EED" w:rsidRDefault="00CB1EED">
      <w:r>
        <w:separator/>
      </w:r>
    </w:p>
  </w:endnote>
  <w:endnote w:type="continuationSeparator" w:id="0">
    <w:p w:rsidR="00CB1EED" w:rsidRDefault="00CB1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E3C" w:rsidRDefault="002B6E3C" w:rsidP="00054E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B6E3C" w:rsidRDefault="002B6E3C" w:rsidP="00054E2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E3C" w:rsidRDefault="002B6E3C" w:rsidP="00054E2E">
    <w:pPr>
      <w:pStyle w:val="Footer"/>
      <w:framePr w:wrap="around" w:vAnchor="text" w:hAnchor="margin" w:xAlign="right" w:y="1"/>
      <w:rPr>
        <w:rStyle w:val="PageNumber"/>
      </w:rPr>
    </w:pPr>
  </w:p>
  <w:p w:rsidR="002B6E3C" w:rsidRDefault="002B6E3C" w:rsidP="00054E2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EED" w:rsidRDefault="00CB1EED">
      <w:r>
        <w:separator/>
      </w:r>
    </w:p>
  </w:footnote>
  <w:footnote w:type="continuationSeparator" w:id="0">
    <w:p w:rsidR="00CB1EED" w:rsidRDefault="00CB1E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E3C" w:rsidRDefault="002B6E3C" w:rsidP="008816E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B6E3C" w:rsidRDefault="002B6E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E3C" w:rsidRDefault="002B6E3C" w:rsidP="008816E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538CC">
      <w:rPr>
        <w:rStyle w:val="PageNumber"/>
        <w:noProof/>
      </w:rPr>
      <w:t>2</w:t>
    </w:r>
    <w:r>
      <w:rPr>
        <w:rStyle w:val="PageNumber"/>
      </w:rPr>
      <w:fldChar w:fldCharType="end"/>
    </w:r>
  </w:p>
  <w:p w:rsidR="002B6E3C" w:rsidRDefault="002B6E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AD2A73"/>
    <w:multiLevelType w:val="hybridMultilevel"/>
    <w:tmpl w:val="C22E128E"/>
    <w:lvl w:ilvl="0" w:tplc="1EA88888">
      <w:start w:val="2"/>
      <w:numFmt w:val="bullet"/>
      <w:lvlText w:val="-"/>
      <w:lvlJc w:val="left"/>
      <w:pPr>
        <w:tabs>
          <w:tab w:val="num" w:pos="435"/>
        </w:tabs>
        <w:ind w:left="435" w:hanging="360"/>
      </w:pPr>
      <w:rPr>
        <w:rFonts w:ascii="Times New Roman" w:eastAsia="Times New Roman" w:hAnsi="Times New Roman" w:hint="default"/>
        <w:b/>
      </w:rPr>
    </w:lvl>
    <w:lvl w:ilvl="1" w:tplc="04090003" w:tentative="1">
      <w:start w:val="1"/>
      <w:numFmt w:val="bullet"/>
      <w:lvlText w:val="o"/>
      <w:lvlJc w:val="left"/>
      <w:pPr>
        <w:tabs>
          <w:tab w:val="num" w:pos="1155"/>
        </w:tabs>
        <w:ind w:left="1155" w:hanging="360"/>
      </w:pPr>
      <w:rPr>
        <w:rFonts w:ascii="Courier New" w:hAnsi="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43C9"/>
    <w:rsid w:val="00044B0B"/>
    <w:rsid w:val="00054E2E"/>
    <w:rsid w:val="00056983"/>
    <w:rsid w:val="00077DCE"/>
    <w:rsid w:val="000923FF"/>
    <w:rsid w:val="000B1897"/>
    <w:rsid w:val="000B1E49"/>
    <w:rsid w:val="000C0E51"/>
    <w:rsid w:val="000C43EC"/>
    <w:rsid w:val="00102488"/>
    <w:rsid w:val="0014094C"/>
    <w:rsid w:val="001446C1"/>
    <w:rsid w:val="0016377B"/>
    <w:rsid w:val="00185738"/>
    <w:rsid w:val="00190C0F"/>
    <w:rsid w:val="001A72FC"/>
    <w:rsid w:val="001F290B"/>
    <w:rsid w:val="00205784"/>
    <w:rsid w:val="002117BF"/>
    <w:rsid w:val="00217F6D"/>
    <w:rsid w:val="00246D22"/>
    <w:rsid w:val="00247430"/>
    <w:rsid w:val="00252CD3"/>
    <w:rsid w:val="00266AA9"/>
    <w:rsid w:val="00277B4D"/>
    <w:rsid w:val="002853ED"/>
    <w:rsid w:val="002A23D3"/>
    <w:rsid w:val="002B6E3C"/>
    <w:rsid w:val="00305F49"/>
    <w:rsid w:val="003450F4"/>
    <w:rsid w:val="00347C12"/>
    <w:rsid w:val="003659DC"/>
    <w:rsid w:val="003D51B1"/>
    <w:rsid w:val="003E77D1"/>
    <w:rsid w:val="003F0DB8"/>
    <w:rsid w:val="00414DDC"/>
    <w:rsid w:val="0047391B"/>
    <w:rsid w:val="0048294A"/>
    <w:rsid w:val="004A0084"/>
    <w:rsid w:val="004A4C1F"/>
    <w:rsid w:val="004A7CF2"/>
    <w:rsid w:val="004B4276"/>
    <w:rsid w:val="004C4FE0"/>
    <w:rsid w:val="004D1A5F"/>
    <w:rsid w:val="004D32BF"/>
    <w:rsid w:val="004D61B9"/>
    <w:rsid w:val="00510427"/>
    <w:rsid w:val="00521A65"/>
    <w:rsid w:val="00541D0A"/>
    <w:rsid w:val="00566F18"/>
    <w:rsid w:val="00582700"/>
    <w:rsid w:val="005913F4"/>
    <w:rsid w:val="00594CFD"/>
    <w:rsid w:val="005A5691"/>
    <w:rsid w:val="005D6675"/>
    <w:rsid w:val="005D7F4D"/>
    <w:rsid w:val="005F0EEF"/>
    <w:rsid w:val="00617AC5"/>
    <w:rsid w:val="006401AF"/>
    <w:rsid w:val="006507FF"/>
    <w:rsid w:val="00666A29"/>
    <w:rsid w:val="00685CBC"/>
    <w:rsid w:val="00695AA6"/>
    <w:rsid w:val="006B23A1"/>
    <w:rsid w:val="006B37CA"/>
    <w:rsid w:val="006B76BE"/>
    <w:rsid w:val="006C4D1E"/>
    <w:rsid w:val="006C59AC"/>
    <w:rsid w:val="006F4EA5"/>
    <w:rsid w:val="00772579"/>
    <w:rsid w:val="00772F5E"/>
    <w:rsid w:val="0078033A"/>
    <w:rsid w:val="007A7011"/>
    <w:rsid w:val="007C272D"/>
    <w:rsid w:val="007E5E86"/>
    <w:rsid w:val="0080737E"/>
    <w:rsid w:val="008159D9"/>
    <w:rsid w:val="0084413D"/>
    <w:rsid w:val="00845E13"/>
    <w:rsid w:val="008816EC"/>
    <w:rsid w:val="008A3FBA"/>
    <w:rsid w:val="008B0110"/>
    <w:rsid w:val="008C2FB6"/>
    <w:rsid w:val="00926EC5"/>
    <w:rsid w:val="00944111"/>
    <w:rsid w:val="009538CC"/>
    <w:rsid w:val="00991FC3"/>
    <w:rsid w:val="00991FE3"/>
    <w:rsid w:val="009B2304"/>
    <w:rsid w:val="009B32AB"/>
    <w:rsid w:val="009B4B53"/>
    <w:rsid w:val="009F24BC"/>
    <w:rsid w:val="00A1433C"/>
    <w:rsid w:val="00A16B99"/>
    <w:rsid w:val="00A5751E"/>
    <w:rsid w:val="00A7169E"/>
    <w:rsid w:val="00A807DC"/>
    <w:rsid w:val="00A82C6F"/>
    <w:rsid w:val="00A864E3"/>
    <w:rsid w:val="00AB0D35"/>
    <w:rsid w:val="00AC3262"/>
    <w:rsid w:val="00B06531"/>
    <w:rsid w:val="00B143C9"/>
    <w:rsid w:val="00B23FA1"/>
    <w:rsid w:val="00B27CD9"/>
    <w:rsid w:val="00B6399B"/>
    <w:rsid w:val="00B91935"/>
    <w:rsid w:val="00BD5032"/>
    <w:rsid w:val="00BF250F"/>
    <w:rsid w:val="00C02B02"/>
    <w:rsid w:val="00C063B4"/>
    <w:rsid w:val="00C25B38"/>
    <w:rsid w:val="00C43989"/>
    <w:rsid w:val="00C74137"/>
    <w:rsid w:val="00C765B0"/>
    <w:rsid w:val="00C94772"/>
    <w:rsid w:val="00CA7F28"/>
    <w:rsid w:val="00CB1EED"/>
    <w:rsid w:val="00CC1B50"/>
    <w:rsid w:val="00CD4514"/>
    <w:rsid w:val="00CD76AC"/>
    <w:rsid w:val="00CE3F6A"/>
    <w:rsid w:val="00CF02DC"/>
    <w:rsid w:val="00D13ADE"/>
    <w:rsid w:val="00D16CD6"/>
    <w:rsid w:val="00D72C87"/>
    <w:rsid w:val="00D828AB"/>
    <w:rsid w:val="00D92309"/>
    <w:rsid w:val="00DB3ED6"/>
    <w:rsid w:val="00DC6B4A"/>
    <w:rsid w:val="00E1495F"/>
    <w:rsid w:val="00E2751B"/>
    <w:rsid w:val="00E72A53"/>
    <w:rsid w:val="00E75DCA"/>
    <w:rsid w:val="00EA6579"/>
    <w:rsid w:val="00EC3DBC"/>
    <w:rsid w:val="00ED45D2"/>
    <w:rsid w:val="00EE5342"/>
    <w:rsid w:val="00EE72A9"/>
    <w:rsid w:val="00F0013D"/>
    <w:rsid w:val="00F45C28"/>
    <w:rsid w:val="00F50203"/>
    <w:rsid w:val="00F52673"/>
    <w:rsid w:val="00F7093F"/>
    <w:rsid w:val="00F71369"/>
    <w:rsid w:val="00F828F8"/>
    <w:rsid w:val="00F87C31"/>
    <w:rsid w:val="00F905B7"/>
    <w:rsid w:val="00FA3A2C"/>
    <w:rsid w:val="00FD3F69"/>
    <w:rsid w:val="00FD6AF9"/>
    <w:rsid w:val="00FE2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9"/>
    <o:shapelayout v:ext="edit">
      <o:idmap v:ext="edit" data="1"/>
    </o:shapelayout>
  </w:shapeDefaults>
  <w:decimalSymbol w:val=","/>
  <w:listSeparator w:val=","/>
  <w15:docId w15:val="{4479D9F4-80C2-4159-B552-AE0F99234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3C9"/>
    <w:rPr>
      <w:rFonts w:eastAsia="Times New Roman"/>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143C9"/>
    <w:pPr>
      <w:tabs>
        <w:tab w:val="center" w:pos="4320"/>
        <w:tab w:val="right" w:pos="8640"/>
      </w:tabs>
    </w:pPr>
  </w:style>
  <w:style w:type="character" w:customStyle="1" w:styleId="FooterChar">
    <w:name w:val="Footer Char"/>
    <w:link w:val="Footer"/>
    <w:uiPriority w:val="99"/>
    <w:locked/>
    <w:rsid w:val="00B143C9"/>
    <w:rPr>
      <w:rFonts w:eastAsia="Times New Roman" w:cs="Times New Roman"/>
      <w:sz w:val="28"/>
    </w:rPr>
  </w:style>
  <w:style w:type="character" w:styleId="PageNumber">
    <w:name w:val="page number"/>
    <w:uiPriority w:val="99"/>
    <w:rsid w:val="00B143C9"/>
    <w:rPr>
      <w:rFonts w:cs="Times New Roman"/>
    </w:rPr>
  </w:style>
  <w:style w:type="paragraph" w:styleId="Header">
    <w:name w:val="header"/>
    <w:basedOn w:val="Normal"/>
    <w:link w:val="HeaderChar"/>
    <w:uiPriority w:val="99"/>
    <w:rsid w:val="00772F5E"/>
    <w:pPr>
      <w:tabs>
        <w:tab w:val="center" w:pos="4320"/>
        <w:tab w:val="right" w:pos="8640"/>
      </w:tabs>
    </w:pPr>
  </w:style>
  <w:style w:type="character" w:customStyle="1" w:styleId="HeaderChar">
    <w:name w:val="Header Char"/>
    <w:link w:val="Header"/>
    <w:uiPriority w:val="99"/>
    <w:semiHidden/>
    <w:locked/>
    <w:rsid w:val="00044B0B"/>
    <w:rPr>
      <w:rFonts w:eastAsia="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600</Words>
  <Characters>3425</Characters>
  <Application>Microsoft Office Word</Application>
  <DocSecurity>0</DocSecurity>
  <Lines>28</Lines>
  <Paragraphs>8</Paragraphs>
  <ScaleCrop>false</ScaleCrop>
  <Company>Microsoft</Company>
  <LinksUpToDate>false</LinksUpToDate>
  <CharactersWithSpaces>4017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subject/>
  <dc:creator>ThienIT</dc:creator>
  <cp:keywords/>
  <dc:description/>
  <cp:lastModifiedBy>My PC</cp:lastModifiedBy>
  <cp:revision>6</cp:revision>
  <cp:lastPrinted>2020-12-07T04:27:00Z</cp:lastPrinted>
  <dcterms:created xsi:type="dcterms:W3CDTF">2020-12-10T04:31:00Z</dcterms:created>
  <dcterms:modified xsi:type="dcterms:W3CDTF">2020-12-18T06:42:00Z</dcterms:modified>
</cp:coreProperties>
</file>