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1" w:type="dxa"/>
        <w:tblLook w:val="01E0" w:firstRow="1" w:lastRow="1" w:firstColumn="1" w:lastColumn="1" w:noHBand="0" w:noVBand="0"/>
      </w:tblPr>
      <w:tblGrid>
        <w:gridCol w:w="3849"/>
        <w:gridCol w:w="5682"/>
      </w:tblGrid>
      <w:tr w:rsidR="005F55B5" w:rsidRPr="005F55B5" w14:paraId="2510410C" w14:textId="77777777" w:rsidTr="0075032A">
        <w:trPr>
          <w:trHeight w:val="850"/>
        </w:trPr>
        <w:tc>
          <w:tcPr>
            <w:tcW w:w="3849" w:type="dxa"/>
            <w:shd w:val="clear" w:color="auto" w:fill="auto"/>
          </w:tcPr>
          <w:p w14:paraId="7BE3BB87" w14:textId="77777777" w:rsidR="0075032A" w:rsidRPr="005F55B5" w:rsidRDefault="0075032A" w:rsidP="00FE1776">
            <w:pPr>
              <w:jc w:val="center"/>
              <w:rPr>
                <w:b/>
                <w:sz w:val="26"/>
                <w:szCs w:val="26"/>
              </w:rPr>
            </w:pPr>
            <w:r w:rsidRPr="005F55B5">
              <w:rPr>
                <w:b/>
                <w:sz w:val="26"/>
                <w:szCs w:val="26"/>
              </w:rPr>
              <w:t>ỦY BAN NHÂN DÂN</w:t>
            </w:r>
          </w:p>
          <w:p w14:paraId="6A9E2D77" w14:textId="77777777" w:rsidR="0075032A" w:rsidRPr="005F55B5" w:rsidRDefault="0075032A" w:rsidP="00FE1776">
            <w:pPr>
              <w:jc w:val="center"/>
              <w:rPr>
                <w:b/>
                <w:sz w:val="26"/>
                <w:szCs w:val="26"/>
              </w:rPr>
            </w:pPr>
            <w:r w:rsidRPr="005F55B5">
              <w:rPr>
                <w:b/>
                <w:sz w:val="26"/>
                <w:szCs w:val="26"/>
              </w:rPr>
              <w:t>TỈNH ĐIỆN BIÊN</w:t>
            </w:r>
          </w:p>
          <w:p w14:paraId="51431F26" w14:textId="77777777" w:rsidR="0075032A" w:rsidRPr="005F55B5" w:rsidRDefault="0075032A" w:rsidP="0075032A">
            <w:pPr>
              <w:jc w:val="center"/>
              <w:rPr>
                <w:sz w:val="26"/>
                <w:szCs w:val="26"/>
              </w:rPr>
            </w:pPr>
            <w:r w:rsidRPr="005F55B5">
              <w:rPr>
                <w:noProof/>
                <w:sz w:val="26"/>
                <w:szCs w:val="26"/>
                <w:lang w:val="vi-VN" w:eastAsia="vi-VN"/>
              </w:rPr>
              <mc:AlternateContent>
                <mc:Choice Requires="wps">
                  <w:drawing>
                    <wp:anchor distT="0" distB="0" distL="114300" distR="114300" simplePos="0" relativeHeight="251663360" behindDoc="0" locked="0" layoutInCell="1" allowOverlap="1" wp14:anchorId="6A177362" wp14:editId="20B27801">
                      <wp:simplePos x="0" y="0"/>
                      <wp:positionH relativeFrom="column">
                        <wp:posOffset>840105</wp:posOffset>
                      </wp:positionH>
                      <wp:positionV relativeFrom="paragraph">
                        <wp:posOffset>40640</wp:posOffset>
                      </wp:positionV>
                      <wp:extent cx="675640" cy="0"/>
                      <wp:effectExtent l="11430"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DAEB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2pt" to="11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atyAEAAHYDAAAOAAAAZHJzL2Uyb0RvYy54bWysU02P0zAQvSPxHyzfadqKFo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"/>
                  </w:pict>
                </mc:Fallback>
              </mc:AlternateContent>
            </w:r>
          </w:p>
        </w:tc>
        <w:tc>
          <w:tcPr>
            <w:tcW w:w="5682" w:type="dxa"/>
            <w:shd w:val="clear" w:color="auto" w:fill="auto"/>
          </w:tcPr>
          <w:p w14:paraId="170EC462" w14:textId="77777777" w:rsidR="0075032A" w:rsidRPr="005F55B5" w:rsidRDefault="0075032A" w:rsidP="00FE1776">
            <w:pPr>
              <w:jc w:val="center"/>
              <w:rPr>
                <w:b/>
                <w:sz w:val="26"/>
                <w:szCs w:val="26"/>
              </w:rPr>
            </w:pPr>
            <w:r w:rsidRPr="005F55B5">
              <w:rPr>
                <w:b/>
                <w:sz w:val="26"/>
                <w:szCs w:val="26"/>
              </w:rPr>
              <w:t xml:space="preserve">CỘNG HÒA XÃ HỘI CHỦ NGHĨA VIỆT </w:t>
            </w:r>
            <w:smartTag w:uri="urn:schemas-microsoft-com:office:smarttags" w:element="place">
              <w:smartTag w:uri="urn:schemas-microsoft-com:office:smarttags" w:element="country-region">
                <w:r w:rsidRPr="005F55B5">
                  <w:rPr>
                    <w:b/>
                    <w:sz w:val="26"/>
                    <w:szCs w:val="26"/>
                  </w:rPr>
                  <w:t>NAM</w:t>
                </w:r>
              </w:smartTag>
            </w:smartTag>
          </w:p>
          <w:p w14:paraId="2C909355" w14:textId="77777777" w:rsidR="0075032A" w:rsidRPr="005F55B5" w:rsidRDefault="0075032A" w:rsidP="00FE1776">
            <w:pPr>
              <w:jc w:val="center"/>
              <w:rPr>
                <w:b/>
              </w:rPr>
            </w:pPr>
            <w:r w:rsidRPr="005F55B5">
              <w:rPr>
                <w:b/>
              </w:rPr>
              <w:t>Độc lập - Tự do - Hạnh phúc</w:t>
            </w:r>
          </w:p>
          <w:p w14:paraId="4170F267" w14:textId="77777777" w:rsidR="0075032A" w:rsidRPr="005F55B5" w:rsidRDefault="0075032A" w:rsidP="0075032A">
            <w:pPr>
              <w:jc w:val="center"/>
              <w:rPr>
                <w:b/>
                <w:sz w:val="26"/>
                <w:szCs w:val="26"/>
              </w:rPr>
            </w:pPr>
            <w:r w:rsidRPr="005F55B5">
              <w:rPr>
                <w:b/>
                <w:noProof/>
                <w:sz w:val="26"/>
                <w:szCs w:val="26"/>
                <w:lang w:val="vi-VN" w:eastAsia="vi-VN"/>
              </w:rPr>
              <mc:AlternateContent>
                <mc:Choice Requires="wps">
                  <w:drawing>
                    <wp:anchor distT="0" distB="0" distL="114300" distR="114300" simplePos="0" relativeHeight="251664384" behindDoc="0" locked="0" layoutInCell="1" allowOverlap="1" wp14:anchorId="79B28C6F" wp14:editId="51C288DE">
                      <wp:simplePos x="0" y="0"/>
                      <wp:positionH relativeFrom="column">
                        <wp:posOffset>672465</wp:posOffset>
                      </wp:positionH>
                      <wp:positionV relativeFrom="paragraph">
                        <wp:posOffset>35560</wp:posOffset>
                      </wp:positionV>
                      <wp:extent cx="2150745" cy="0"/>
                      <wp:effectExtent l="5715" t="6985" r="571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BF4D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2.8pt" to="222.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"/>
                  </w:pict>
                </mc:Fallback>
              </mc:AlternateContent>
            </w:r>
          </w:p>
        </w:tc>
      </w:tr>
      <w:tr w:rsidR="005F55B5" w:rsidRPr="005F55B5" w14:paraId="6DC97145" w14:textId="77777777" w:rsidTr="0075032A">
        <w:trPr>
          <w:trHeight w:val="352"/>
        </w:trPr>
        <w:tc>
          <w:tcPr>
            <w:tcW w:w="3849" w:type="dxa"/>
            <w:shd w:val="clear" w:color="auto" w:fill="auto"/>
          </w:tcPr>
          <w:p w14:paraId="7B9C24D9" w14:textId="09E126CF" w:rsidR="0075032A" w:rsidRPr="005F55B5" w:rsidRDefault="0075032A" w:rsidP="0075032A">
            <w:pPr>
              <w:jc w:val="center"/>
              <w:rPr>
                <w:b/>
                <w:sz w:val="24"/>
                <w:szCs w:val="24"/>
              </w:rPr>
            </w:pPr>
            <w:r w:rsidRPr="005F55B5">
              <w:rPr>
                <w:sz w:val="26"/>
                <w:szCs w:val="26"/>
              </w:rPr>
              <w:t xml:space="preserve">Số:  </w:t>
            </w:r>
            <w:r w:rsidR="00CD0AB1">
              <w:rPr>
                <w:sz w:val="26"/>
                <w:szCs w:val="26"/>
              </w:rPr>
              <w:t>196</w:t>
            </w:r>
            <w:r w:rsidRPr="005F55B5">
              <w:rPr>
                <w:sz w:val="26"/>
                <w:szCs w:val="26"/>
              </w:rPr>
              <w:t xml:space="preserve"> /BC-UBND</w:t>
            </w:r>
          </w:p>
        </w:tc>
        <w:tc>
          <w:tcPr>
            <w:tcW w:w="5682" w:type="dxa"/>
            <w:shd w:val="clear" w:color="auto" w:fill="auto"/>
          </w:tcPr>
          <w:p w14:paraId="303EA194" w14:textId="2B548104" w:rsidR="0075032A" w:rsidRPr="005F55B5" w:rsidRDefault="0075032A" w:rsidP="00FE1776">
            <w:pPr>
              <w:jc w:val="center"/>
              <w:rPr>
                <w:b/>
                <w:sz w:val="26"/>
                <w:szCs w:val="26"/>
              </w:rPr>
            </w:pPr>
            <w:r w:rsidRPr="005F55B5">
              <w:rPr>
                <w:i/>
              </w:rPr>
              <w:t xml:space="preserve">Điện Biên, ngày   </w:t>
            </w:r>
            <w:r w:rsidR="00CD0AB1">
              <w:rPr>
                <w:i/>
              </w:rPr>
              <w:t>06</w:t>
            </w:r>
            <w:r w:rsidRPr="005F55B5">
              <w:rPr>
                <w:i/>
              </w:rPr>
              <w:t xml:space="preserve">  tháng 7 năm 2020</w:t>
            </w:r>
          </w:p>
        </w:tc>
      </w:tr>
    </w:tbl>
    <w:p w14:paraId="640B6158" w14:textId="77777777" w:rsidR="0075032A" w:rsidRPr="005F55B5" w:rsidRDefault="0075032A" w:rsidP="0075032A">
      <w:pPr>
        <w:ind w:firstLine="570"/>
        <w:jc w:val="center"/>
        <w:rPr>
          <w:b/>
          <w:sz w:val="20"/>
        </w:rPr>
      </w:pPr>
    </w:p>
    <w:p w14:paraId="23A261C9" w14:textId="77777777" w:rsidR="0075032A" w:rsidRPr="004232F7" w:rsidRDefault="0075032A" w:rsidP="0075032A">
      <w:pPr>
        <w:ind w:firstLine="570"/>
        <w:jc w:val="center"/>
        <w:rPr>
          <w:b/>
          <w:sz w:val="24"/>
        </w:rPr>
      </w:pPr>
    </w:p>
    <w:p w14:paraId="278E1651" w14:textId="77777777" w:rsidR="0075032A" w:rsidRPr="005F55B5" w:rsidRDefault="0075032A" w:rsidP="0075032A">
      <w:pPr>
        <w:jc w:val="center"/>
        <w:rPr>
          <w:b/>
        </w:rPr>
      </w:pPr>
      <w:r w:rsidRPr="005F55B5">
        <w:rPr>
          <w:b/>
        </w:rPr>
        <w:t>BÁO CÁO</w:t>
      </w:r>
    </w:p>
    <w:p w14:paraId="10FAE10B" w14:textId="77777777" w:rsidR="0075032A" w:rsidRPr="005F55B5" w:rsidRDefault="0075032A" w:rsidP="0075032A">
      <w:pPr>
        <w:jc w:val="center"/>
        <w:rPr>
          <w:b/>
        </w:rPr>
      </w:pPr>
      <w:r w:rsidRPr="005F55B5">
        <w:rPr>
          <w:b/>
        </w:rPr>
        <w:t>Công tác tiếp công dân, xử lý đơn thư, giải quyết khiếu nại, tố cáo</w:t>
      </w:r>
    </w:p>
    <w:p w14:paraId="03981EA5" w14:textId="77777777" w:rsidR="0075032A" w:rsidRPr="005F55B5" w:rsidRDefault="0075032A" w:rsidP="0075032A">
      <w:pPr>
        <w:jc w:val="center"/>
        <w:rPr>
          <w:b/>
        </w:rPr>
      </w:pPr>
      <w:r w:rsidRPr="005F55B5">
        <w:rPr>
          <w:b/>
        </w:rPr>
        <w:t xml:space="preserve"> 6 tháng đầu năm; phương hướng, nhiệm vụ 6 tháng cuối năm 2020</w:t>
      </w:r>
    </w:p>
    <w:p w14:paraId="7DDC4387" w14:textId="77777777" w:rsidR="0075032A" w:rsidRPr="005F55B5" w:rsidRDefault="0075032A" w:rsidP="0075032A">
      <w:pPr>
        <w:spacing w:before="120" w:after="120"/>
        <w:ind w:firstLine="700"/>
        <w:jc w:val="both"/>
      </w:pPr>
      <w:r w:rsidRPr="005F55B5">
        <w:rPr>
          <w:noProof/>
          <w:lang w:val="vi-VN" w:eastAsia="vi-VN"/>
        </w:rPr>
        <mc:AlternateContent>
          <mc:Choice Requires="wps">
            <w:drawing>
              <wp:anchor distT="0" distB="0" distL="114300" distR="114300" simplePos="0" relativeHeight="251661312" behindDoc="0" locked="0" layoutInCell="1" allowOverlap="1" wp14:anchorId="2F0980F2" wp14:editId="1AA484A8">
                <wp:simplePos x="0" y="0"/>
                <wp:positionH relativeFrom="column">
                  <wp:posOffset>2337435</wp:posOffset>
                </wp:positionH>
                <wp:positionV relativeFrom="paragraph">
                  <wp:posOffset>38735</wp:posOffset>
                </wp:positionV>
                <wp:extent cx="1066800" cy="0"/>
                <wp:effectExtent l="7620"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51899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3.05pt" to="26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"/>
            </w:pict>
          </mc:Fallback>
        </mc:AlternateContent>
      </w:r>
    </w:p>
    <w:p w14:paraId="06179CF7" w14:textId="77777777" w:rsidR="0075032A" w:rsidRPr="000F5A6E" w:rsidRDefault="0075032A" w:rsidP="000F5A6E">
      <w:pPr>
        <w:spacing w:before="120" w:after="120" w:line="264" w:lineRule="auto"/>
        <w:ind w:firstLine="700"/>
        <w:jc w:val="both"/>
      </w:pPr>
      <w:r w:rsidRPr="000F5A6E">
        <w:t>Thực hiện Luật Tổ chức chính quyền địa phương ngày 19/6/2015; Luật Giám sát của Quốc hội và Hội đồng nhân dân ngày 20/11/2015; Chương trình kỳ họp thứ 14 của HĐND tỉnh khóa XIV; UBND tỉnh báo cáo công tác tiếp công dân, xử lý đơn thư, giải quyết khiếu nại, tố cáo</w:t>
      </w:r>
      <w:r w:rsidRPr="000F5A6E">
        <w:rPr>
          <w:b/>
        </w:rPr>
        <w:t xml:space="preserve"> </w:t>
      </w:r>
      <w:r w:rsidRPr="000F5A6E">
        <w:t>6 tháng đầu</w:t>
      </w:r>
      <w:r w:rsidRPr="000F5A6E">
        <w:rPr>
          <w:b/>
        </w:rPr>
        <w:t xml:space="preserve"> </w:t>
      </w:r>
      <w:r w:rsidRPr="000F5A6E">
        <w:t>năm 2020</w:t>
      </w:r>
      <w:r w:rsidR="00D1520C" w:rsidRPr="000F5A6E">
        <w:t>;</w:t>
      </w:r>
      <w:r w:rsidRPr="000F5A6E">
        <w:t xml:space="preserve"> phương hướng</w:t>
      </w:r>
      <w:r w:rsidR="00D1520C" w:rsidRPr="000F5A6E">
        <w:t>,</w:t>
      </w:r>
      <w:r w:rsidRPr="000F5A6E">
        <w:t xml:space="preserve"> nhiệm vụ trọng tâm 6 tháng cuối năm 2020, cụ thể như sau:</w:t>
      </w:r>
    </w:p>
    <w:p w14:paraId="52ED5A37" w14:textId="77777777" w:rsidR="0075032A" w:rsidRPr="000F5A6E" w:rsidRDefault="0075032A" w:rsidP="000F5A6E">
      <w:pPr>
        <w:spacing w:before="120" w:after="120" w:line="264" w:lineRule="auto"/>
        <w:ind w:firstLine="700"/>
        <w:jc w:val="both"/>
        <w:rPr>
          <w:sz w:val="26"/>
        </w:rPr>
      </w:pPr>
      <w:r w:rsidRPr="000F5A6E">
        <w:rPr>
          <w:b/>
          <w:sz w:val="26"/>
        </w:rPr>
        <w:t xml:space="preserve">I. </w:t>
      </w:r>
      <w:r w:rsidRPr="000F5A6E">
        <w:rPr>
          <w:b/>
          <w:sz w:val="26"/>
          <w:lang w:val="de-DE"/>
        </w:rPr>
        <w:t>CÔNG TÁC CHỈ ĐẠO ĐIỀU HÀNH</w:t>
      </w:r>
    </w:p>
    <w:p w14:paraId="76AAC971" w14:textId="5C94060A" w:rsidR="0075032A" w:rsidRPr="000F5A6E" w:rsidRDefault="0075032A" w:rsidP="000F5A6E">
      <w:pPr>
        <w:spacing w:before="120" w:after="120" w:line="264" w:lineRule="auto"/>
        <w:ind w:firstLine="700"/>
        <w:jc w:val="both"/>
      </w:pPr>
      <w:r w:rsidRPr="000F5A6E">
        <w:t>- UBND tỉnh đã ban hành nhiều văn bản để chỉ đạo các cơ quan, đơn vị, địa phương tiếp tục tổ chức quán triệt và thực hiện nghiêm túc có hiệu quả Luật Tiếp công dân, Luật Khiếu nại, Luật Tố cáo</w:t>
      </w:r>
      <w:r w:rsidR="002C4611">
        <w:t>.</w:t>
      </w:r>
    </w:p>
    <w:p w14:paraId="10FEEF9C" w14:textId="35B89197" w:rsidR="0075032A" w:rsidRPr="000F5A6E" w:rsidRDefault="0075032A" w:rsidP="000F5A6E">
      <w:pPr>
        <w:spacing w:before="120" w:after="120" w:line="264" w:lineRule="auto"/>
        <w:ind w:firstLine="700"/>
        <w:jc w:val="both"/>
      </w:pPr>
      <w:r w:rsidRPr="000F5A6E">
        <w:t>- Chỉ đạo thực hiện đồng bộ các giải pháp, phát huy sức mạnh tổng hợp của cả hệ thống chính trị, vai trò lãnh đạo của các cấp ủy đảng, trách nhiệm của chính quyền, sự giám sát của HĐND, Ủy ban MTTQ các cấp, không để khiếu nại, tố cáo đông người xảy ra, hạn chế tối đa việc phát sinh khiếu nại, tố cáo vượt cấp</w:t>
      </w:r>
      <w:r w:rsidR="002C4611">
        <w:t>.</w:t>
      </w:r>
    </w:p>
    <w:p w14:paraId="1F3AFB61" w14:textId="77777777" w:rsidR="0075032A" w:rsidRPr="000F5A6E" w:rsidRDefault="0075032A" w:rsidP="000F5A6E">
      <w:pPr>
        <w:spacing w:before="120" w:after="120" w:line="264" w:lineRule="auto"/>
        <w:ind w:firstLine="700"/>
        <w:jc w:val="both"/>
      </w:pPr>
      <w:r w:rsidRPr="000F5A6E">
        <w:t xml:space="preserve">- Chỉ đạo tăng cường kiểm tra trách nhiệm Thủ trưởng các đơn vị trong việc chấp hành pháp luật khiếu nại, tố cáo; tổ chức thực hiện tốt công tác dự báo, nắm chắc tình hình khiếu nại, tố cáo, phản ánh, kiến nghị của công dân trên địa bàn, lĩnh vực quản lý để có kế hoạch tổ chức tiếp dân, đối thoại, tiếp nhận đơn thư để giải quyết kịp thời các vụ việc khiếu nại, tố cáo, phản ánh, kiến nghị của công dân ngay từ khi mới phát sinh. </w:t>
      </w:r>
    </w:p>
    <w:p w14:paraId="34CA8B8F" w14:textId="04B60D2C" w:rsidR="0075032A" w:rsidRPr="000F5A6E" w:rsidRDefault="0075032A" w:rsidP="000F5A6E">
      <w:pPr>
        <w:spacing w:before="120" w:after="120" w:line="264" w:lineRule="auto"/>
        <w:ind w:firstLine="700"/>
        <w:jc w:val="both"/>
      </w:pPr>
      <w:r w:rsidRPr="000F5A6E">
        <w:t xml:space="preserve">- Đối với những vụ việc phức tạp, UBND tỉnh chỉ đạo giao các sở, ngành của tỉnh phối hợp với UBND các huyện, thị xã, thành phố kiểm tra, rà soát, thống nhất phương án, đề xuất để chỉ đạo và giải quyết; đồng thời chỉ đạo tổ chức hội nghị tư vấn gồm các sở, ngành liên quan để tham gia ý kiến giải quyết, xử lý đảm bảo chặt chẽ, khách quan, đúng quy định của pháp luật, phù hợp với điều kiện thực tế ở địa phương, tính chất từng vụ việc trước khi ban hành quyết định, kết luận giải quyết, xử lý. </w:t>
      </w:r>
    </w:p>
    <w:p w14:paraId="5958C630" w14:textId="77777777" w:rsidR="0075032A" w:rsidRPr="000F5A6E" w:rsidRDefault="0075032A" w:rsidP="000F5A6E">
      <w:pPr>
        <w:spacing w:before="120" w:after="120" w:line="264" w:lineRule="auto"/>
        <w:ind w:firstLine="700"/>
        <w:jc w:val="both"/>
      </w:pPr>
      <w:r w:rsidRPr="000F5A6E">
        <w:t xml:space="preserve">- Chỉ đạo các cơ quan, đơn vị thực hiện nghiêm Quy định về chế độ thông tin, báo cáo công tác tiếp công dân, giải quyết khiếu nại, tố cáo; Quy chế tiếp công </w:t>
      </w:r>
      <w:r w:rsidRPr="000F5A6E">
        <w:lastRenderedPageBreak/>
        <w:t xml:space="preserve">dân, quy chế phối hợp trong công tác xử lý đơn, giải quyết khiếu nại, tố cáo ... đảm bảo việc giải quyết khiếu nại, tố cáo của công dân được kịp thời và hiệu quả. </w:t>
      </w:r>
    </w:p>
    <w:p w14:paraId="3DB80617" w14:textId="5724171E" w:rsidR="0075032A" w:rsidRPr="000F5A6E" w:rsidRDefault="0075032A" w:rsidP="000F5A6E">
      <w:pPr>
        <w:spacing w:before="120" w:after="120" w:line="264" w:lineRule="auto"/>
        <w:ind w:firstLine="700"/>
        <w:jc w:val="both"/>
      </w:pPr>
      <w:r w:rsidRPr="000F5A6E">
        <w:t xml:space="preserve">Dưới sự lãnh đạo, chỉ đạo thường xuyên, kịp thời của Tỉnh uỷ, UBND tỉnh và sự cố gắng của các cấp, các ngành; sự phối hợp của Ủy ban Mặt trận tổ quốc Việt Nam các cấp và </w:t>
      </w:r>
      <w:r w:rsidR="00F237E4">
        <w:t>đ</w:t>
      </w:r>
      <w:r w:rsidR="00F237E4" w:rsidRPr="000F5A6E">
        <w:t xml:space="preserve">oàn </w:t>
      </w:r>
      <w:r w:rsidRPr="000F5A6E">
        <w:t>thể nhân dân đối với công tác tiếp công dân, giải quyết KNTC nên đã giải quyết được nhiều vụ việc khiếu nại, tố cáo ngay từ khi mới phát sinh, không để xảy ra điểm nóng; hiệu quả công tác tiếp công dân gắn với giải quyết KNTC đã có chuyển biến tốt, góp phần đảm bảo an ninh chính trị trên địa bàn tỉnh.</w:t>
      </w:r>
    </w:p>
    <w:p w14:paraId="57CE7459" w14:textId="77777777" w:rsidR="0075032A" w:rsidRPr="000F5A6E" w:rsidRDefault="0075032A" w:rsidP="000F5A6E">
      <w:pPr>
        <w:spacing w:before="120" w:after="120" w:line="264" w:lineRule="auto"/>
        <w:ind w:firstLine="700"/>
        <w:jc w:val="both"/>
        <w:rPr>
          <w:b/>
          <w:sz w:val="26"/>
        </w:rPr>
      </w:pPr>
      <w:r w:rsidRPr="000F5A6E">
        <w:rPr>
          <w:b/>
          <w:sz w:val="26"/>
        </w:rPr>
        <w:t xml:space="preserve">II. </w:t>
      </w:r>
      <w:r w:rsidRPr="000F5A6E">
        <w:rPr>
          <w:b/>
          <w:sz w:val="26"/>
          <w:lang w:val="vi-VN"/>
        </w:rPr>
        <w:t>KẾT QUẢ THỰC HIỆN</w:t>
      </w:r>
    </w:p>
    <w:p w14:paraId="26526BED" w14:textId="77777777" w:rsidR="0075032A" w:rsidRPr="000F5A6E" w:rsidRDefault="0075032A" w:rsidP="000F5A6E">
      <w:pPr>
        <w:spacing w:before="120" w:after="120" w:line="264" w:lineRule="auto"/>
        <w:ind w:firstLine="700"/>
        <w:jc w:val="both"/>
        <w:rPr>
          <w:b/>
          <w:sz w:val="26"/>
        </w:rPr>
      </w:pPr>
      <w:r w:rsidRPr="000F5A6E">
        <w:rPr>
          <w:b/>
          <w:sz w:val="26"/>
        </w:rPr>
        <w:t xml:space="preserve">1. </w:t>
      </w:r>
      <w:r w:rsidRPr="000F5A6E">
        <w:rPr>
          <w:b/>
        </w:rPr>
        <w:t xml:space="preserve">Công tác tiếp công dân </w:t>
      </w:r>
    </w:p>
    <w:p w14:paraId="430324A9" w14:textId="77777777" w:rsidR="00731DBF" w:rsidRPr="000F5A6E" w:rsidRDefault="0075032A" w:rsidP="000F5A6E">
      <w:pPr>
        <w:spacing w:before="120" w:after="120" w:line="264" w:lineRule="auto"/>
        <w:ind w:firstLine="700"/>
        <w:jc w:val="both"/>
      </w:pPr>
      <w:r w:rsidRPr="000F5A6E">
        <w:t>UBND tỉnh tiếp tục chỉ đạo các cấp, các ngành tiếp công dân phải gắn với giải quyết khiếu nại, tố cáo; thực hiện tốt chế độ tiếp công dân thường xuyên ở cả 3 cấp (</w:t>
      </w:r>
      <w:r w:rsidRPr="000F5A6E">
        <w:rPr>
          <w:i/>
        </w:rPr>
        <w:t>tỉnh, huyện, xã</w:t>
      </w:r>
      <w:r w:rsidRPr="000F5A6E">
        <w:t xml:space="preserve">); chế độ trực tiếp tiếp công dân định kỳ của Lãnh đạo UBND cấp xã, cấp huyện, cấp tỉnh và các sở, ngành được thực hiện nghiêm túc; các điều kiện phục vụ cho công tác tiếp công dân được đảm bảo, như: Phòng tiếp công dân, sổ theo dõi, nội quy, lịch tiếp công dân được công khai. </w:t>
      </w:r>
    </w:p>
    <w:p w14:paraId="6AA23EC2" w14:textId="77777777" w:rsidR="0075032A" w:rsidRPr="000F5A6E" w:rsidRDefault="0075032A" w:rsidP="000F5A6E">
      <w:pPr>
        <w:spacing w:before="120" w:after="120" w:line="264" w:lineRule="auto"/>
        <w:ind w:firstLine="700"/>
        <w:jc w:val="both"/>
      </w:pPr>
      <w:r w:rsidRPr="000F5A6E">
        <w:t>Đối với chế độ trực tiếp tiếp công dân định kỳ và đột xuất của Lãnh đạo UBND tỉnh được thực hiện đúng quy định, phân công lãnh đạo UBND tỉnh trực tiếp tiếp công dân theo định kỳ nhiều tháng liên tục để thống nhất theo dõi chỉ đạo giải quyết các vụ việc, Thông báo lịch tiếp công dân định kỳ cho các cơ quan, đơn vị liên quan để cùng tham gia tiếp công dân khi có yêu cầu. Ban Tiếp công dân của tỉnh đã tổ chức thực hiện tốt nhiệm vụ tiếp công dân thường xuyên và phối hợp với các ngành tiếp công dân, tiếp nhận và xử lý đơn thư theo quy định; tổ chức và phục vụ tốt các buổi tiếp dân định kỳ của Lãnh đạo Hội đồng nhân dân, UBND tỉnh.</w:t>
      </w:r>
    </w:p>
    <w:p w14:paraId="6D4E90BC" w14:textId="77777777" w:rsidR="0075032A" w:rsidRPr="000F5A6E" w:rsidRDefault="0075032A" w:rsidP="000F5A6E">
      <w:pPr>
        <w:spacing w:before="120" w:after="120" w:line="264" w:lineRule="auto"/>
        <w:ind w:firstLine="700"/>
        <w:jc w:val="both"/>
      </w:pPr>
      <w:r w:rsidRPr="000F5A6E">
        <w:t>Trong 6 tháng đầu năm 2020</w:t>
      </w:r>
      <w:r w:rsidR="00731DBF" w:rsidRPr="000F5A6E">
        <w:t>,</w:t>
      </w:r>
      <w:r w:rsidRPr="000F5A6E">
        <w:t xml:space="preserve"> các cơ quan hành chính trên địa bàn tỉnh </w:t>
      </w:r>
      <w:r w:rsidR="00731DBF" w:rsidRPr="000F5A6E">
        <w:t>đã</w:t>
      </w:r>
      <w:r w:rsidRPr="000F5A6E">
        <w:t xml:space="preserve"> tiếp </w:t>
      </w:r>
      <w:r w:rsidRPr="000F5A6E">
        <w:rPr>
          <w:b/>
        </w:rPr>
        <w:t>540</w:t>
      </w:r>
      <w:r w:rsidRPr="000F5A6E">
        <w:t xml:space="preserve"> lượt công dân, </w:t>
      </w:r>
      <w:r w:rsidRPr="000F5A6E">
        <w:rPr>
          <w:b/>
        </w:rPr>
        <w:t>620</w:t>
      </w:r>
      <w:r w:rsidRPr="000F5A6E">
        <w:t xml:space="preserve"> người. Số vụ việc cũ 22 vụ; số vụ việc mới phát sinh 518 vụ, So với cùng kỳ năm trước</w:t>
      </w:r>
      <w:r w:rsidR="00731DBF" w:rsidRPr="000F5A6E">
        <w:t>,</w:t>
      </w:r>
      <w:r w:rsidRPr="000F5A6E">
        <w:t xml:space="preserve"> số lượt tiếp công dân giảm </w:t>
      </w:r>
      <w:r w:rsidR="00731DBF" w:rsidRPr="000F5A6E">
        <w:t>32,67% (540/802). C</w:t>
      </w:r>
      <w:r w:rsidRPr="000F5A6E">
        <w:t>ó 03 đoàn đông người</w:t>
      </w:r>
      <w:r w:rsidR="00731DBF" w:rsidRPr="000F5A6E">
        <w:t>, giảm 81,25% (3/16 đoàn) s</w:t>
      </w:r>
      <w:r w:rsidRPr="000F5A6E">
        <w:t>o với cùng kỳ năm trước</w:t>
      </w:r>
      <w:r w:rsidRPr="000F5A6E">
        <w:rPr>
          <w:rStyle w:val="FootnoteReference"/>
        </w:rPr>
        <w:footnoteReference w:id="1"/>
      </w:r>
      <w:r w:rsidR="00731DBF" w:rsidRPr="000F5A6E">
        <w:t>, t</w:t>
      </w:r>
      <w:r w:rsidRPr="000F5A6E">
        <w:t>rong đó:</w:t>
      </w:r>
    </w:p>
    <w:p w14:paraId="7A136A97" w14:textId="77777777" w:rsidR="0075032A" w:rsidRPr="000F5A6E" w:rsidRDefault="00E13D14" w:rsidP="000F5A6E">
      <w:pPr>
        <w:widowControl w:val="0"/>
        <w:spacing w:before="120" w:after="120" w:line="264" w:lineRule="auto"/>
        <w:ind w:firstLine="700"/>
        <w:jc w:val="both"/>
      </w:pPr>
      <w:r w:rsidRPr="000F5A6E">
        <w:t>- Cấp tỉnh: 69 lượt, 80 người;</w:t>
      </w:r>
    </w:p>
    <w:p w14:paraId="55ED0B14" w14:textId="77777777" w:rsidR="0075032A" w:rsidRPr="000F5A6E" w:rsidRDefault="0075032A" w:rsidP="000F5A6E">
      <w:pPr>
        <w:spacing w:before="120" w:after="120" w:line="264" w:lineRule="auto"/>
        <w:ind w:firstLine="700"/>
        <w:jc w:val="both"/>
      </w:pPr>
      <w:r w:rsidRPr="000F5A6E">
        <w:t>- Cấp huyện: 210 lượt, 27</w:t>
      </w:r>
      <w:r w:rsidR="00E13D14" w:rsidRPr="000F5A6E">
        <w:t>5 người; có 03 đoàn, 41 người;</w:t>
      </w:r>
    </w:p>
    <w:p w14:paraId="01CEF196" w14:textId="77777777" w:rsidR="0075032A" w:rsidRPr="000F5A6E" w:rsidRDefault="00E13D14" w:rsidP="000F5A6E">
      <w:pPr>
        <w:spacing w:before="120" w:after="120" w:line="264" w:lineRule="auto"/>
        <w:ind w:firstLine="700"/>
        <w:jc w:val="both"/>
      </w:pPr>
      <w:r w:rsidRPr="000F5A6E">
        <w:lastRenderedPageBreak/>
        <w:t>- Cấp sở: 01 lượt, 01 người;</w:t>
      </w:r>
    </w:p>
    <w:p w14:paraId="7B16A982" w14:textId="77777777" w:rsidR="0075032A" w:rsidRPr="000F5A6E" w:rsidRDefault="0075032A" w:rsidP="000F5A6E">
      <w:pPr>
        <w:spacing w:before="120" w:after="120" w:line="264" w:lineRule="auto"/>
        <w:ind w:firstLine="700"/>
        <w:jc w:val="both"/>
      </w:pPr>
      <w:r w:rsidRPr="000F5A6E">
        <w:t>- Cấp xã: 260 lượt, 264 người.</w:t>
      </w:r>
    </w:p>
    <w:p w14:paraId="2F71CBE7" w14:textId="77777777" w:rsidR="0075032A" w:rsidRPr="000F5A6E" w:rsidRDefault="0075032A" w:rsidP="000F5A6E">
      <w:pPr>
        <w:spacing w:before="120" w:after="120" w:line="264" w:lineRule="auto"/>
        <w:ind w:firstLine="700"/>
        <w:jc w:val="both"/>
      </w:pPr>
      <w:r w:rsidRPr="000F5A6E">
        <w:t xml:space="preserve">Nội dung tiếp công dân chủ yếu tập trung vào các lĩnh vực đất đai như đề nghị giải quyết tranh chấp đất đai, cấp giấy chứng nhận quyền sử dụng đất; đền bù giải phóng mặt bằng; đề nghị cấp đất tái định cư tại chỗ thuộc dự án khu đô thị Tân Thanh; DA đại lộ 60 mét; bồi thường thiệt hại về thu nhập sản xuất kinh doanh; đề nghị được trợ cấp xã hội; đề nghị hỗ trợ gạo, cấp đất sản xuất khi thực hiện di chuyển để thực hiện Đề án 79; </w:t>
      </w:r>
      <w:r w:rsidRPr="000F5A6E">
        <w:rPr>
          <w:lang w:val="nl-NL"/>
        </w:rPr>
        <w:t>liên quan đến việc đề nghị hỗ trợ nhà ở</w:t>
      </w:r>
      <w:r w:rsidR="00E13D14" w:rsidRPr="000F5A6E">
        <w:rPr>
          <w:lang w:val="nl-NL"/>
        </w:rPr>
        <w:t xml:space="preserve"> theo C</w:t>
      </w:r>
      <w:r w:rsidRPr="000F5A6E">
        <w:rPr>
          <w:lang w:val="nl-NL"/>
        </w:rPr>
        <w:t xml:space="preserve">hương trình 167, việc hỗ trợ nhà ở theo chương trình của Bộ Công an, </w:t>
      </w:r>
      <w:r w:rsidRPr="000F5A6E">
        <w:rPr>
          <w:rFonts w:ascii="vn" w:hAnsi="vn" w:cs="Arial"/>
          <w:lang w:val="nl-NL"/>
        </w:rPr>
        <w:t xml:space="preserve">chi trả tiền </w:t>
      </w:r>
      <w:r w:rsidRPr="000F5A6E">
        <w:rPr>
          <w:lang w:val="nl-NL"/>
        </w:rPr>
        <w:t>phụ cấp Bí thư chi bộ bản...</w:t>
      </w:r>
    </w:p>
    <w:p w14:paraId="3BA82812" w14:textId="77777777" w:rsidR="00E13D14" w:rsidRPr="000F5A6E" w:rsidRDefault="0075032A" w:rsidP="000F5A6E">
      <w:pPr>
        <w:spacing w:before="120" w:after="120" w:line="264" w:lineRule="auto"/>
        <w:ind w:firstLine="700"/>
        <w:jc w:val="both"/>
      </w:pPr>
      <w:r w:rsidRPr="000F5A6E">
        <w:t xml:space="preserve">Qua công tác tiếp công dân, lãnh đạo UBND các cấp, các ngành đã tiếp nhận đơn, tiếp thu và ghi nhận những khiếu nại, tố cáo, kiến nghị, phản ánh của công dân để xem xét, giải quyết, trả lời theo thẩm quyền hoặc hướng dẫn công dân đến đúng cấp có thẩm quyền để xem xét, giải quyết; đồng thời, chỉ đạo các cấp, các ngành có thẩm quyền tăng cường đối thoại với công dân để giải thích, trả lời những bức xúc, vướng mắc, kịp thời giải quyết các vụ việc khiếu nại, tố cáo theo quy định của pháp luật. </w:t>
      </w:r>
    </w:p>
    <w:p w14:paraId="3D161B7F" w14:textId="77777777" w:rsidR="0075032A" w:rsidRPr="000F5A6E" w:rsidRDefault="0075032A" w:rsidP="000F5A6E">
      <w:pPr>
        <w:spacing w:before="120" w:after="120" w:line="264" w:lineRule="auto"/>
        <w:ind w:firstLine="700"/>
        <w:jc w:val="both"/>
      </w:pPr>
      <w:r w:rsidRPr="000F5A6E">
        <w:t>Tại các buổi tiếp công dân định kỳ, lãnh đạo UBND tỉnh đều ban hành thông báo kết luận để chỉ đạo các cơ quan, đơn vị thuộc thẩm quyền có văn bản trả lời hoặc chỉ đạo UBND các cấp, các ngành liên quan xem xét, giải quyết, trả lời các khiếu nại, tố cáo, phản ánh, kiến nghị thuộc thẩm quyền theo qu</w:t>
      </w:r>
      <w:r w:rsidR="00E13D14" w:rsidRPr="000F5A6E">
        <w:t>y</w:t>
      </w:r>
      <w:r w:rsidRPr="000F5A6E">
        <w:t xml:space="preserve"> định.</w:t>
      </w:r>
    </w:p>
    <w:p w14:paraId="1429B2A1" w14:textId="77777777" w:rsidR="0075032A" w:rsidRPr="000F5A6E" w:rsidRDefault="0075032A" w:rsidP="000F5A6E">
      <w:pPr>
        <w:pStyle w:val="BodyText"/>
        <w:spacing w:before="120" w:line="264" w:lineRule="auto"/>
        <w:ind w:firstLine="700"/>
        <w:jc w:val="both"/>
        <w:rPr>
          <w:b/>
        </w:rPr>
      </w:pPr>
      <w:r w:rsidRPr="000F5A6E">
        <w:rPr>
          <w:b/>
        </w:rPr>
        <w:t xml:space="preserve">2. Tiếp nhận, phân loại và xử lý đơn khiếu nại, tố cáo, đề nghị </w:t>
      </w:r>
    </w:p>
    <w:p w14:paraId="1EB675A6" w14:textId="77777777" w:rsidR="0075032A" w:rsidRPr="000F5A6E" w:rsidRDefault="0075032A" w:rsidP="000F5A6E">
      <w:pPr>
        <w:spacing w:before="120" w:after="120" w:line="264" w:lineRule="auto"/>
        <w:ind w:firstLine="700"/>
        <w:rPr>
          <w:b/>
          <w:i/>
        </w:rPr>
      </w:pPr>
      <w:r w:rsidRPr="000F5A6E">
        <w:tab/>
      </w:r>
      <w:r w:rsidR="00E13D14" w:rsidRPr="000F5A6E">
        <w:rPr>
          <w:b/>
          <w:i/>
        </w:rPr>
        <w:t>a) Tiếp nhận đơn, phân loại đơn</w:t>
      </w:r>
    </w:p>
    <w:p w14:paraId="58CC2CC2" w14:textId="77777777" w:rsidR="0075032A" w:rsidRPr="000F5A6E" w:rsidRDefault="0075032A" w:rsidP="000F5A6E">
      <w:pPr>
        <w:spacing w:before="120" w:after="120" w:line="264" w:lineRule="auto"/>
        <w:ind w:firstLine="700"/>
        <w:jc w:val="both"/>
      </w:pPr>
      <w:r w:rsidRPr="000F5A6E">
        <w:t xml:space="preserve">Toàn tỉnh </w:t>
      </w:r>
      <w:r w:rsidR="00E13D14" w:rsidRPr="000F5A6E">
        <w:t xml:space="preserve">đã tiếp nhận </w:t>
      </w:r>
      <w:r w:rsidRPr="000F5A6E">
        <w:rPr>
          <w:b/>
        </w:rPr>
        <w:t>807</w:t>
      </w:r>
      <w:r w:rsidRPr="000F5A6E">
        <w:t xml:space="preserve"> đơn, tăng 6,04% so với cùng kỳ năm trước (807/761). Trong đó: Đơn khiếu nại </w:t>
      </w:r>
      <w:r w:rsidRPr="000F5A6E">
        <w:rPr>
          <w:b/>
        </w:rPr>
        <w:t>38</w:t>
      </w:r>
      <w:r w:rsidRPr="000F5A6E">
        <w:t xml:space="preserve"> đơn, chiếm tỷ lệ 4,7% đơn tiếp nhận; tố cáo </w:t>
      </w:r>
      <w:r w:rsidRPr="000F5A6E">
        <w:rPr>
          <w:b/>
        </w:rPr>
        <w:t>40</w:t>
      </w:r>
      <w:r w:rsidRPr="000F5A6E">
        <w:t xml:space="preserve"> đơn, chiếm tỷ lệ 5%; còn lại là đơn thư kiến nghị, thỉnh cầu.</w:t>
      </w:r>
    </w:p>
    <w:p w14:paraId="2BDDE4F2" w14:textId="77777777" w:rsidR="0075032A" w:rsidRPr="000F5A6E" w:rsidRDefault="0075032A" w:rsidP="000F5A6E">
      <w:pPr>
        <w:spacing w:before="120" w:after="120" w:line="264" w:lineRule="auto"/>
        <w:ind w:firstLine="700"/>
        <w:rPr>
          <w:b/>
          <w:i/>
        </w:rPr>
      </w:pPr>
      <w:r w:rsidRPr="000F5A6E">
        <w:rPr>
          <w:b/>
          <w:i/>
        </w:rPr>
        <w:t>b) Kết quả xử lý đơn thư khiếu nại, tố cáo</w:t>
      </w:r>
    </w:p>
    <w:p w14:paraId="7AA4E2EA" w14:textId="77777777" w:rsidR="0075032A" w:rsidRPr="000F5A6E" w:rsidRDefault="0075032A" w:rsidP="000F5A6E">
      <w:pPr>
        <w:spacing w:before="120" w:after="120" w:line="264" w:lineRule="auto"/>
        <w:ind w:firstLine="700"/>
        <w:jc w:val="both"/>
      </w:pPr>
      <w:r w:rsidRPr="000F5A6E">
        <w:t xml:space="preserve">Trong tổng số 78 </w:t>
      </w:r>
      <w:r w:rsidR="00E13D14" w:rsidRPr="000F5A6E">
        <w:t>đơn khiếu nại, tố cáo nhận được có</w:t>
      </w:r>
      <w:r w:rsidRPr="000F5A6E">
        <w:t xml:space="preserve"> </w:t>
      </w:r>
      <w:r w:rsidR="00E13D14" w:rsidRPr="000F5A6E">
        <w:t xml:space="preserve">60 đơn (KN 32 đơn, TC 28 đơn) </w:t>
      </w:r>
      <w:r w:rsidRPr="000F5A6E">
        <w:t>đủ điều kiện xử lý. Trong đó số vụ việc thuộc thẩm quyền giải quyết 24 đơn bằng 24 vụ (khiếu nại 14 vụ; tố cáo 10 vụ).</w:t>
      </w:r>
    </w:p>
    <w:p w14:paraId="22A22465" w14:textId="77777777" w:rsidR="0075032A" w:rsidRPr="000F5A6E" w:rsidRDefault="0075032A" w:rsidP="000F5A6E">
      <w:pPr>
        <w:widowControl w:val="0"/>
        <w:spacing w:before="120" w:after="120" w:line="264" w:lineRule="auto"/>
        <w:ind w:firstLine="700"/>
        <w:jc w:val="both"/>
        <w:rPr>
          <w:b/>
        </w:rPr>
      </w:pPr>
      <w:r w:rsidRPr="000F5A6E">
        <w:rPr>
          <w:b/>
        </w:rPr>
        <w:t xml:space="preserve"> 3. Kết quả giải quyết đơn khiếu nại, tố cáo thuộc thẩm quyền </w:t>
      </w:r>
    </w:p>
    <w:p w14:paraId="415AF40F" w14:textId="77777777" w:rsidR="0075032A" w:rsidRPr="000F5A6E" w:rsidRDefault="0075032A" w:rsidP="000F5A6E">
      <w:pPr>
        <w:widowControl w:val="0"/>
        <w:spacing w:before="120" w:after="120" w:line="264" w:lineRule="auto"/>
        <w:ind w:firstLine="700"/>
        <w:jc w:val="both"/>
        <w:rPr>
          <w:i/>
        </w:rPr>
      </w:pPr>
      <w:r w:rsidRPr="000F5A6E">
        <w:rPr>
          <w:i/>
        </w:rPr>
        <w:t xml:space="preserve"> </w:t>
      </w:r>
      <w:r w:rsidRPr="000F5A6E">
        <w:rPr>
          <w:b/>
          <w:i/>
        </w:rPr>
        <w:t>a) Giải quyết đơn khiếu nại thuộc thẩm quyền</w:t>
      </w:r>
    </w:p>
    <w:p w14:paraId="5951B438" w14:textId="77777777" w:rsidR="0075032A" w:rsidRPr="000F5A6E" w:rsidRDefault="0075032A" w:rsidP="000F5A6E">
      <w:pPr>
        <w:widowControl w:val="0"/>
        <w:spacing w:before="120" w:after="120" w:line="264" w:lineRule="auto"/>
        <w:ind w:firstLine="700"/>
        <w:jc w:val="both"/>
      </w:pPr>
      <w:r w:rsidRPr="000F5A6E">
        <w:t>- Tổng số đơn khiếu nại 29 đơn (trong đó có 15 đơn tồn kỳ trước chuyển sang); số vụ việc thuộc thẩm quyền 29 vụ, đã giải quyết 18/29 vụ đạt 62% (giải quyết bằng quyết định hành chính 15 vụ; giải quyết thông qua hòa giải 03 vụ); còn 11 vụ mới phát sinh đang giải quyết.</w:t>
      </w:r>
    </w:p>
    <w:p w14:paraId="2E7BC134" w14:textId="77777777" w:rsidR="0075032A" w:rsidRPr="000F5A6E" w:rsidRDefault="0075032A" w:rsidP="000F5A6E">
      <w:pPr>
        <w:widowControl w:val="0"/>
        <w:spacing w:before="120" w:after="120" w:line="264" w:lineRule="auto"/>
        <w:ind w:firstLine="700"/>
        <w:jc w:val="both"/>
      </w:pPr>
      <w:r w:rsidRPr="000F5A6E">
        <w:lastRenderedPageBreak/>
        <w:t>- Kết quả giải quyết: Khiếu nại sai 13/15 vụ chiếm 86,7%; khiếu nại có đúng có sai 02/15 vụ chiếm 13,3%.</w:t>
      </w:r>
    </w:p>
    <w:p w14:paraId="5CAFC134" w14:textId="77777777" w:rsidR="0075032A" w:rsidRPr="000F5A6E" w:rsidRDefault="0075032A" w:rsidP="000F5A6E">
      <w:pPr>
        <w:widowControl w:val="0"/>
        <w:spacing w:before="120" w:after="120" w:line="264" w:lineRule="auto"/>
        <w:ind w:firstLine="700"/>
        <w:jc w:val="both"/>
        <w:rPr>
          <w:b/>
          <w:i/>
        </w:rPr>
      </w:pPr>
      <w:r w:rsidRPr="000F5A6E">
        <w:rPr>
          <w:b/>
          <w:i/>
        </w:rPr>
        <w:t>b) Giải qu</w:t>
      </w:r>
      <w:r w:rsidR="00E13D14" w:rsidRPr="000F5A6E">
        <w:rPr>
          <w:b/>
          <w:i/>
        </w:rPr>
        <w:t>yết đơn tố cáo thuộc thẩm quyền</w:t>
      </w:r>
    </w:p>
    <w:p w14:paraId="5D93D582" w14:textId="77777777" w:rsidR="0075032A" w:rsidRPr="000F5A6E" w:rsidRDefault="0075032A" w:rsidP="000F5A6E">
      <w:pPr>
        <w:widowControl w:val="0"/>
        <w:spacing w:before="120" w:after="120" w:line="264" w:lineRule="auto"/>
        <w:ind w:firstLine="700"/>
        <w:jc w:val="both"/>
      </w:pPr>
      <w:r w:rsidRPr="000F5A6E">
        <w:t>- Tổng số đơn tố cáo thuộc thẩm quyền: 11 đơn (số đơn tồn kỳ trước chuyển sang 01 đơn)</w:t>
      </w:r>
      <w:r w:rsidR="00E13D14" w:rsidRPr="000F5A6E">
        <w:t>,</w:t>
      </w:r>
      <w:r w:rsidRPr="000F5A6E">
        <w:t xml:space="preserve"> </w:t>
      </w:r>
      <w:r w:rsidR="00E13D14" w:rsidRPr="000F5A6E">
        <w:t xml:space="preserve">11 </w:t>
      </w:r>
      <w:r w:rsidRPr="000F5A6E">
        <w:t>vụ việc thuộc thẩm quyền</w:t>
      </w:r>
      <w:r w:rsidR="00E13D14" w:rsidRPr="000F5A6E">
        <w:t xml:space="preserve"> </w:t>
      </w:r>
      <w:r w:rsidRPr="000F5A6E">
        <w:t>đã giải quyết 04/11 vụ đạt 36,36%</w:t>
      </w:r>
      <w:r w:rsidR="00E13D14" w:rsidRPr="000F5A6E">
        <w:t>, c</w:t>
      </w:r>
      <w:r w:rsidRPr="000F5A6E">
        <w:t>òn 07 vụ mới phát sinh đang kiểm tra, xác minh.</w:t>
      </w:r>
    </w:p>
    <w:p w14:paraId="0B72D278" w14:textId="77777777" w:rsidR="0075032A" w:rsidRPr="000F5A6E" w:rsidRDefault="0075032A" w:rsidP="000F5A6E">
      <w:pPr>
        <w:widowControl w:val="0"/>
        <w:spacing w:before="120" w:after="120" w:line="264" w:lineRule="auto"/>
        <w:ind w:firstLine="700"/>
        <w:jc w:val="both"/>
      </w:pPr>
      <w:r w:rsidRPr="000F5A6E">
        <w:t>- Kết quả giải quyết: Tố cáo đúng 01/04 vụ chiếm 25%; Tố cáo sai 01/04 vụ chiếm 25%; tố cáo đúng một phần 02/04 vụ chiếm 50%.</w:t>
      </w:r>
    </w:p>
    <w:p w14:paraId="4F00EAD5" w14:textId="77777777" w:rsidR="0075032A" w:rsidRPr="000F5A6E" w:rsidRDefault="0075032A" w:rsidP="000F5A6E">
      <w:pPr>
        <w:widowControl w:val="0"/>
        <w:spacing w:before="120" w:after="120" w:line="264" w:lineRule="auto"/>
        <w:ind w:firstLine="700"/>
        <w:jc w:val="both"/>
      </w:pPr>
      <w:r w:rsidRPr="000F5A6E">
        <w:t xml:space="preserve">- Qua giải quyết tố cáo thu hồi </w:t>
      </w:r>
      <w:r w:rsidR="00397B53" w:rsidRPr="000F5A6E">
        <w:t>nộp ngân sách</w:t>
      </w:r>
      <w:r w:rsidRPr="000F5A6E">
        <w:t xml:space="preserve"> nhà nước 766m</w:t>
      </w:r>
      <w:r w:rsidRPr="000F5A6E">
        <w:rPr>
          <w:vertAlign w:val="superscript"/>
        </w:rPr>
        <w:t>2</w:t>
      </w:r>
      <w:r w:rsidRPr="000F5A6E">
        <w:t xml:space="preserve"> đất, kiến nghị xử lý 06 cán bộ</w:t>
      </w:r>
      <w:r w:rsidR="00397B53" w:rsidRPr="000F5A6E">
        <w:t>,</w:t>
      </w:r>
      <w:r w:rsidRPr="000F5A6E">
        <w:t xml:space="preserve"> công chức.</w:t>
      </w:r>
    </w:p>
    <w:p w14:paraId="713DD1C8" w14:textId="77777777" w:rsidR="0075032A" w:rsidRPr="000F5A6E" w:rsidRDefault="0075032A" w:rsidP="000F5A6E">
      <w:pPr>
        <w:widowControl w:val="0"/>
        <w:spacing w:before="120" w:after="120" w:line="264" w:lineRule="auto"/>
        <w:ind w:firstLine="700"/>
        <w:jc w:val="both"/>
      </w:pPr>
      <w:r w:rsidRPr="000F5A6E">
        <w:rPr>
          <w:b/>
          <w:i/>
        </w:rPr>
        <w:t>c) Vụ việc khiếu nại, tố cáo tiếp tục giải quyết</w:t>
      </w:r>
      <w:r w:rsidRPr="000F5A6E">
        <w:rPr>
          <w:i/>
        </w:rPr>
        <w:t>:</w:t>
      </w:r>
      <w:r w:rsidRPr="000F5A6E">
        <w:t xml:space="preserve"> 18 vụ (</w:t>
      </w:r>
      <w:r w:rsidR="00397B53" w:rsidRPr="000F5A6E">
        <w:t xml:space="preserve">11 vụ </w:t>
      </w:r>
      <w:r w:rsidRPr="000F5A6E">
        <w:t xml:space="preserve">khiếu nại, </w:t>
      </w:r>
      <w:r w:rsidR="00397B53" w:rsidRPr="000F5A6E">
        <w:t xml:space="preserve">07 vụ </w:t>
      </w:r>
      <w:r w:rsidRPr="000F5A6E">
        <w:t>tố cáo), trong đó: Cấp huyện 11 vụ khiếu nại, 04 vụ tố cáo; cấp sở 01 vụ tố cáo; cấp xã 02 tố cáo.</w:t>
      </w:r>
    </w:p>
    <w:p w14:paraId="6BA5CEC7" w14:textId="77777777" w:rsidR="0075032A" w:rsidRPr="000F5A6E" w:rsidRDefault="0075032A" w:rsidP="000F5A6E">
      <w:pPr>
        <w:widowControl w:val="0"/>
        <w:spacing w:before="120" w:after="120" w:line="264" w:lineRule="auto"/>
        <w:ind w:firstLine="700"/>
        <w:jc w:val="both"/>
        <w:rPr>
          <w:b/>
        </w:rPr>
      </w:pPr>
      <w:r w:rsidRPr="000F5A6E">
        <w:rPr>
          <w:b/>
        </w:rPr>
        <w:t>4. Kết quả thanh tra, kiểm tra trách nhiệm thực hiện Luật Khiếu nại, Luật Tố cáo</w:t>
      </w:r>
    </w:p>
    <w:p w14:paraId="52FAA280" w14:textId="77777777" w:rsidR="00397B53" w:rsidRPr="000F5A6E" w:rsidRDefault="0075032A" w:rsidP="000F5A6E">
      <w:pPr>
        <w:widowControl w:val="0"/>
        <w:spacing w:before="120" w:after="120" w:line="264" w:lineRule="auto"/>
        <w:ind w:firstLine="700"/>
        <w:jc w:val="both"/>
      </w:pPr>
      <w:r w:rsidRPr="000F5A6E">
        <w:t>Trong 6 tháng đầu năm 2020</w:t>
      </w:r>
      <w:r w:rsidR="00397B53" w:rsidRPr="000F5A6E">
        <w:t>,</w:t>
      </w:r>
      <w:r w:rsidRPr="000F5A6E">
        <w:t xml:space="preserve"> các cấp, các ngành đã </w:t>
      </w:r>
      <w:r w:rsidR="00397B53" w:rsidRPr="000F5A6E">
        <w:t>thực hiện</w:t>
      </w:r>
      <w:r w:rsidRPr="000F5A6E">
        <w:t xml:space="preserve"> 09 cuộc thanh tra</w:t>
      </w:r>
      <w:r w:rsidR="00397B53" w:rsidRPr="000F5A6E">
        <w:t xml:space="preserve"> trách nhiệm</w:t>
      </w:r>
      <w:r w:rsidRPr="000F5A6E">
        <w:t xml:space="preserve"> thực hiện các quy định của pháp luật về khiếu nại, tố cáo và PCTN. </w:t>
      </w:r>
    </w:p>
    <w:p w14:paraId="7438EC3A" w14:textId="77777777" w:rsidR="0075032A" w:rsidRPr="000F5A6E" w:rsidRDefault="0075032A" w:rsidP="000F5A6E">
      <w:pPr>
        <w:widowControl w:val="0"/>
        <w:spacing w:before="120" w:after="120" w:line="264" w:lineRule="auto"/>
        <w:ind w:firstLine="700"/>
        <w:jc w:val="both"/>
      </w:pPr>
      <w:r w:rsidRPr="000F5A6E">
        <w:rPr>
          <w:lang w:val="vi-VN"/>
        </w:rPr>
        <w:t>Qua thanh tra nhận thấy</w:t>
      </w:r>
      <w:r w:rsidRPr="000F5A6E">
        <w:t>,</w:t>
      </w:r>
      <w:r w:rsidRPr="000F5A6E">
        <w:rPr>
          <w:lang w:val="vi-VN"/>
        </w:rPr>
        <w:t xml:space="preserve"> việc chấp hành</w:t>
      </w:r>
      <w:r w:rsidRPr="000F5A6E">
        <w:t xml:space="preserve"> </w:t>
      </w:r>
      <w:r w:rsidRPr="000F5A6E">
        <w:rPr>
          <w:lang w:val="vi-VN"/>
        </w:rPr>
        <w:t xml:space="preserve">Luật Khiếu nại, Luật Tố cáo </w:t>
      </w:r>
      <w:r w:rsidRPr="000F5A6E">
        <w:t>của các đơn vị, địa phương được thực hiện tương đối nghiêm túc</w:t>
      </w:r>
      <w:r w:rsidRPr="000F5A6E">
        <w:rPr>
          <w:lang w:val="vi-VN"/>
        </w:rPr>
        <w:t>; công tác tiếp nhận và giải quyết đơn, thư khiếu nại</w:t>
      </w:r>
      <w:r w:rsidRPr="000F5A6E">
        <w:t>,</w:t>
      </w:r>
      <w:r w:rsidRPr="000F5A6E">
        <w:rPr>
          <w:lang w:val="vi-VN"/>
        </w:rPr>
        <w:t xml:space="preserve"> tố cáo đã được lãnh đạo các cấp, các ngành quan tâm giải quyết kịp thời.</w:t>
      </w:r>
      <w:r w:rsidRPr="000F5A6E">
        <w:t xml:space="preserve"> Tuy nhiên: Việc </w:t>
      </w:r>
      <w:r w:rsidR="00397B53" w:rsidRPr="000F5A6E">
        <w:t xml:space="preserve">phân loại, </w:t>
      </w:r>
      <w:r w:rsidRPr="000F5A6E">
        <w:t xml:space="preserve">xử lý đơn thư còn nhầm lẫn về loại đơn, thẩm quyền </w:t>
      </w:r>
      <w:r w:rsidR="00397B53" w:rsidRPr="000F5A6E">
        <w:t xml:space="preserve">xử lý </w:t>
      </w:r>
      <w:r w:rsidRPr="000F5A6E">
        <w:t>dẫn đến một số đơn sai quy trình; việc ghi chép vào sổ tiếp công dân còn thiếu chính xác, trùng lắp đối tượng, nội dung..</w:t>
      </w:r>
      <w:r w:rsidRPr="000F5A6E">
        <w:rPr>
          <w:lang w:val="vi-VN"/>
        </w:rPr>
        <w:t xml:space="preserve">. </w:t>
      </w:r>
    </w:p>
    <w:p w14:paraId="46CB6435" w14:textId="77777777" w:rsidR="0075032A" w:rsidRPr="000F5A6E" w:rsidRDefault="0075032A" w:rsidP="000F5A6E">
      <w:pPr>
        <w:widowControl w:val="0"/>
        <w:spacing w:before="120" w:after="120" w:line="264" w:lineRule="auto"/>
        <w:ind w:firstLine="700"/>
        <w:jc w:val="both"/>
        <w:rPr>
          <w:b/>
        </w:rPr>
      </w:pPr>
      <w:r w:rsidRPr="000F5A6E">
        <w:rPr>
          <w:b/>
        </w:rPr>
        <w:t>5. Kết quả tuyên truyền, phổ biến pháp luật về khiếu nại, tố cáo</w:t>
      </w:r>
    </w:p>
    <w:p w14:paraId="03D017E7" w14:textId="5E52D35B" w:rsidR="00397B53" w:rsidRPr="000F5A6E" w:rsidRDefault="0075032A" w:rsidP="000F5A6E">
      <w:pPr>
        <w:widowControl w:val="0"/>
        <w:spacing w:before="120" w:after="120" w:line="264" w:lineRule="auto"/>
        <w:ind w:firstLine="700"/>
        <w:jc w:val="both"/>
      </w:pPr>
      <w:r w:rsidRPr="000F5A6E">
        <w:rPr>
          <w:lang w:val="nl-NL"/>
        </w:rPr>
        <w:t xml:space="preserve">Trong 6 tháng đầu năm 2020, các cấp, các ngành đã ban hành </w:t>
      </w:r>
      <w:r w:rsidRPr="000F5A6E">
        <w:rPr>
          <w:b/>
          <w:lang w:val="nl-NL"/>
        </w:rPr>
        <w:t>16</w:t>
      </w:r>
      <w:r w:rsidRPr="000F5A6E">
        <w:rPr>
          <w:lang w:val="nl-NL"/>
        </w:rPr>
        <w:t xml:space="preserve"> văn bản </w:t>
      </w:r>
      <w:r w:rsidR="00397B53" w:rsidRPr="000F5A6E">
        <w:rPr>
          <w:lang w:val="nl-NL"/>
        </w:rPr>
        <w:t xml:space="preserve">để quán triệt, chỉ đạo triển khai </w:t>
      </w:r>
      <w:r w:rsidRPr="000F5A6E">
        <w:rPr>
          <w:lang w:val="nl-NL"/>
        </w:rPr>
        <w:t xml:space="preserve"> công tác tiếp công dân, xử lý đơn thư, </w:t>
      </w:r>
      <w:r w:rsidR="00397B53" w:rsidRPr="000F5A6E">
        <w:rPr>
          <w:lang w:val="nl-NL"/>
        </w:rPr>
        <w:t xml:space="preserve">giải quyết khiếu nại, tố cáo; </w:t>
      </w:r>
      <w:r w:rsidRPr="000F5A6E">
        <w:rPr>
          <w:lang w:val="nl-NL"/>
        </w:rPr>
        <w:t xml:space="preserve">tổ chức triển khai 01 lớp tập huấn, </w:t>
      </w:r>
      <w:r w:rsidR="00DF02A0">
        <w:rPr>
          <w:lang w:val="nl-NL"/>
        </w:rPr>
        <w:t>tuyên</w:t>
      </w:r>
      <w:r w:rsidR="00DF02A0" w:rsidRPr="000F5A6E">
        <w:rPr>
          <w:lang w:val="nl-NL"/>
        </w:rPr>
        <w:t xml:space="preserve"> </w:t>
      </w:r>
      <w:r w:rsidRPr="000F5A6E">
        <w:rPr>
          <w:lang w:val="nl-NL"/>
        </w:rPr>
        <w:t>truyền pháp luật về tiếp công dân, xử lý đơn thư, giải quyết khiếu nại, tố cáo và một số văn bản hướng dẫn, thi hành pháp luật có liên quan với 95 người tham gia</w:t>
      </w:r>
      <w:r w:rsidR="00397B53" w:rsidRPr="000F5A6E">
        <w:t>; tổ chức quán triệt tuyên truyền, phổ biến đường lối, chủ trương của Đảng, chính sách, pháp luật của Nhà nước về công tác thanh tra, tiếp dân, xử lý đơn thư, giải quyết khiếu nại, tố cáo tại</w:t>
      </w:r>
      <w:r w:rsidRPr="000F5A6E">
        <w:t xml:space="preserve"> các cuộc họp, hội nghị, trang thông tin điện tử…</w:t>
      </w:r>
    </w:p>
    <w:p w14:paraId="6131B9CE" w14:textId="77777777" w:rsidR="0075032A" w:rsidRPr="000F5A6E" w:rsidRDefault="0075032A" w:rsidP="000F5A6E">
      <w:pPr>
        <w:widowControl w:val="0"/>
        <w:spacing w:before="120" w:after="120" w:line="264" w:lineRule="auto"/>
        <w:ind w:firstLine="700"/>
        <w:jc w:val="both"/>
        <w:rPr>
          <w:b/>
        </w:rPr>
      </w:pPr>
      <w:r w:rsidRPr="000F5A6E">
        <w:t>Kết quả qua công tác tuyên truyền</w:t>
      </w:r>
      <w:r w:rsidR="00397B53" w:rsidRPr="000F5A6E">
        <w:t>, phổ biến</w:t>
      </w:r>
      <w:r w:rsidRPr="000F5A6E">
        <w:t xml:space="preserve"> đã tạo sự chuyển biến về nhận thức trong cán bộ, công chức và nhân dân về công tác giải quyết khiếu nại, tố cáo góp phần nâng cao ý thức trách nhiệm của các cấp, các ngành; nâng cao năng lực, trình độ nghiệp vụ và đề cao tinh thần trách nhiệm của cán bộ, công chức, viên </w:t>
      </w:r>
      <w:r w:rsidRPr="000F5A6E">
        <w:lastRenderedPageBreak/>
        <w:t xml:space="preserve">chức và công dân trong công tác giải quyết khiếu nại, tố cáo và phòng, chống tham nhũng. </w:t>
      </w:r>
    </w:p>
    <w:p w14:paraId="4BB1F937" w14:textId="77777777" w:rsidR="0075032A" w:rsidRPr="000F5A6E" w:rsidRDefault="0075032A" w:rsidP="000F5A6E">
      <w:pPr>
        <w:spacing w:before="120" w:after="120" w:line="264" w:lineRule="auto"/>
        <w:ind w:firstLine="700"/>
        <w:jc w:val="both"/>
        <w:rPr>
          <w:b/>
          <w:sz w:val="26"/>
        </w:rPr>
      </w:pPr>
      <w:r w:rsidRPr="000F5A6E">
        <w:rPr>
          <w:b/>
          <w:sz w:val="26"/>
        </w:rPr>
        <w:t>III. ĐÁNH GIÁ VÀ DỰ BÁO TÌNH HÌNH KHIẾU NẠI, TỐ CÁO</w:t>
      </w:r>
    </w:p>
    <w:p w14:paraId="05B2839B" w14:textId="77777777" w:rsidR="0075032A" w:rsidRPr="000F5A6E" w:rsidRDefault="0075032A" w:rsidP="000F5A6E">
      <w:pPr>
        <w:spacing w:before="120" w:after="120" w:line="264" w:lineRule="auto"/>
        <w:ind w:firstLine="700"/>
        <w:jc w:val="both"/>
        <w:rPr>
          <w:b/>
        </w:rPr>
      </w:pPr>
      <w:r w:rsidRPr="000F5A6E">
        <w:rPr>
          <w:b/>
        </w:rPr>
        <w:t xml:space="preserve">1. Đánh giá </w:t>
      </w:r>
    </w:p>
    <w:p w14:paraId="2C6F95DF" w14:textId="77777777" w:rsidR="0075032A" w:rsidRPr="000F5A6E" w:rsidRDefault="00397B53" w:rsidP="000F5A6E">
      <w:pPr>
        <w:spacing w:before="120" w:after="120" w:line="264" w:lineRule="auto"/>
        <w:ind w:firstLine="700"/>
        <w:jc w:val="both"/>
        <w:rPr>
          <w:b/>
          <w:i/>
        </w:rPr>
      </w:pPr>
      <w:r w:rsidRPr="000F5A6E">
        <w:rPr>
          <w:b/>
          <w:i/>
        </w:rPr>
        <w:t xml:space="preserve">a) </w:t>
      </w:r>
      <w:r w:rsidR="0075032A" w:rsidRPr="000F5A6E">
        <w:rPr>
          <w:b/>
          <w:i/>
        </w:rPr>
        <w:t>Ưu điểm</w:t>
      </w:r>
    </w:p>
    <w:p w14:paraId="4FD54734" w14:textId="77777777" w:rsidR="0075032A" w:rsidRPr="000F5A6E" w:rsidRDefault="0075032A" w:rsidP="000F5A6E">
      <w:pPr>
        <w:spacing w:before="120" w:after="120" w:line="264" w:lineRule="auto"/>
        <w:ind w:firstLine="700"/>
        <w:jc w:val="both"/>
      </w:pPr>
      <w:r w:rsidRPr="000F5A6E">
        <w:t>Công tác tiếp dân, giải quyết khiếu nại, tố cáo đã được Tỉnh ủy, Hội đồng nhân dân, UBND tỉnh đặc biệt quan tâm và xác định đây là nhiệm vụ trọng tâm, đã tập trung nhiều biện pháp chỉ đạo quyết liệt, phát huy sức mạnh tổng hợp của cả hệ thống chính trị trong công tác giải quyết khiếu nại, tố cáo; đáp ứng kịp thời tâm tư, nguyện vọng chính đáng của nhân dân. Phát huy vai trò của người đứng đầu trong công tác tiếp công dân, giải quyết khiếu nại, tố cáo; Ban hành thông báo lịch tiếp công dân định kỳ đúng theo quy định.</w:t>
      </w:r>
    </w:p>
    <w:p w14:paraId="441982C3" w14:textId="77777777" w:rsidR="0075032A" w:rsidRPr="0096195A" w:rsidRDefault="0075032A" w:rsidP="000F5A6E">
      <w:pPr>
        <w:pStyle w:val="BodyTextIndent"/>
        <w:spacing w:before="120" w:after="120" w:line="264" w:lineRule="auto"/>
        <w:ind w:firstLine="700"/>
        <w:jc w:val="both"/>
        <w:rPr>
          <w:rFonts w:ascii="Times New Roman" w:hAnsi="Times New Roman"/>
        </w:rPr>
      </w:pPr>
      <w:r w:rsidRPr="000F5A6E">
        <w:rPr>
          <w:rFonts w:ascii="Times New Roman" w:hAnsi="Times New Roman"/>
        </w:rPr>
        <w:tab/>
        <w:t xml:space="preserve">Công tác phối hợp </w:t>
      </w:r>
      <w:r w:rsidRPr="0096195A">
        <w:rPr>
          <w:rFonts w:ascii="Times New Roman" w:hAnsi="Times New Roman"/>
        </w:rPr>
        <w:t xml:space="preserve">giữa các cấp các ngành trong </w:t>
      </w:r>
      <w:r w:rsidRPr="000F5A6E">
        <w:rPr>
          <w:rFonts w:ascii="Times New Roman" w:hAnsi="Times New Roman"/>
        </w:rPr>
        <w:t>trong</w:t>
      </w:r>
      <w:r w:rsidRPr="0096195A">
        <w:rPr>
          <w:rFonts w:ascii="Times New Roman" w:hAnsi="Times New Roman"/>
        </w:rPr>
        <w:t xml:space="preserve"> công tác</w:t>
      </w:r>
      <w:r w:rsidR="00CA6F68" w:rsidRPr="000F5A6E">
        <w:rPr>
          <w:rFonts w:ascii="Times New Roman" w:hAnsi="Times New Roman"/>
        </w:rPr>
        <w:t xml:space="preserve"> giải quyết khiếu nại, tố cáo </w:t>
      </w:r>
      <w:r w:rsidR="00CA6F68" w:rsidRPr="0096195A">
        <w:rPr>
          <w:rFonts w:ascii="Times New Roman" w:hAnsi="Times New Roman"/>
        </w:rPr>
        <w:t>có chuyển biến tích cực</w:t>
      </w:r>
      <w:r w:rsidRPr="000F5A6E">
        <w:rPr>
          <w:rFonts w:ascii="Times New Roman" w:hAnsi="Times New Roman"/>
        </w:rPr>
        <w:t xml:space="preserve">, nhất là đối với các vụ việc khiếu nại, tố cáo đông người, phức tạp đã </w:t>
      </w:r>
      <w:r w:rsidRPr="0096195A">
        <w:rPr>
          <w:rFonts w:ascii="Times New Roman" w:hAnsi="Times New Roman"/>
        </w:rPr>
        <w:t>kịp thời tháo gỡ khó khăn, vướng mắc và kiến nghị đến cấp có thẩm quyền giải quyết theo quy định.</w:t>
      </w:r>
    </w:p>
    <w:p w14:paraId="21BA49C2" w14:textId="77777777" w:rsidR="0075032A" w:rsidRPr="0096195A" w:rsidRDefault="0075032A" w:rsidP="000F5A6E">
      <w:pPr>
        <w:pStyle w:val="BodyTextIndent"/>
        <w:spacing w:before="120" w:after="120" w:line="264" w:lineRule="auto"/>
        <w:ind w:firstLine="700"/>
        <w:jc w:val="both"/>
        <w:rPr>
          <w:rFonts w:ascii="Times New Roman" w:hAnsi="Times New Roman"/>
        </w:rPr>
      </w:pPr>
      <w:r w:rsidRPr="0096195A">
        <w:rPr>
          <w:rFonts w:ascii="Times New Roman" w:hAnsi="Times New Roman"/>
        </w:rPr>
        <w:t>Công tác tiếp công dân tại Trụ sở tiếp công dân, địa điểm tiếp công dân được thực hiện nghiêm túc, đúng theo luật định; việc bố trí cán bộ, công chức tiếp công dân, cơ sở vật chất phục vụ tiếp công dẫn đã được thực hiện đúng theo quy định của Luật tiếp công dân, từ đó đã kịp thời giải quyết có hiệu quả đơn thư khiếu nại, tố cáo của công dân; không để xảy ra điểm nóng trên địa bàn.</w:t>
      </w:r>
    </w:p>
    <w:p w14:paraId="02AC65EE" w14:textId="77777777" w:rsidR="0075032A" w:rsidRPr="000F5A6E" w:rsidRDefault="0075032A" w:rsidP="000F5A6E">
      <w:pPr>
        <w:spacing w:before="120" w:after="120" w:line="264" w:lineRule="auto"/>
        <w:ind w:firstLine="700"/>
        <w:jc w:val="both"/>
        <w:rPr>
          <w:lang w:val="it-IT"/>
        </w:rPr>
      </w:pPr>
      <w:r w:rsidRPr="000F5A6E">
        <w:rPr>
          <w:lang w:val="it-IT"/>
        </w:rPr>
        <w:t>V</w:t>
      </w:r>
      <w:r w:rsidRPr="0096195A">
        <w:rPr>
          <w:lang w:val="vi-VN"/>
        </w:rPr>
        <w:t>iệc tiếp nhận, xử lý, giải quyết đối với đơn khiếu nại, tố cáo của công dân đã đảm bảo về trình tự, thủ tục và thời hạn giải quyết, chất lượng và nội dung giải quyết sự việc ngày càng được nâng cao, nhiều vụ việc công dân đã chấm dứt việc tiếp khiếu, tiếp tố sau khi nhận được quyết định giải quyết khiếu nại, văn bản kết luận giải quyết tố cáo lần đầu.</w:t>
      </w:r>
    </w:p>
    <w:p w14:paraId="2ACF15C2" w14:textId="77777777" w:rsidR="0075032A" w:rsidRPr="000F5A6E" w:rsidRDefault="0075032A" w:rsidP="000F5A6E">
      <w:pPr>
        <w:pStyle w:val="BodyTextIndent"/>
        <w:spacing w:before="120" w:after="120" w:line="264" w:lineRule="auto"/>
        <w:ind w:firstLine="700"/>
        <w:jc w:val="both"/>
        <w:rPr>
          <w:rFonts w:ascii="Times New Roman" w:hAnsi="Times New Roman"/>
        </w:rPr>
      </w:pPr>
      <w:r w:rsidRPr="000F5A6E">
        <w:rPr>
          <w:rFonts w:ascii="Times New Roman" w:hAnsi="Times New Roman"/>
        </w:rPr>
        <w:t>Công tác thanh tra, kiểm tra trách nhiệm trong việc chấp hành Luật Tiếp công dân, Luật Khiếu nại, Luật Tố cáo được</w:t>
      </w:r>
      <w:r w:rsidR="00CA6F68" w:rsidRPr="000F5A6E">
        <w:rPr>
          <w:rFonts w:ascii="Times New Roman" w:hAnsi="Times New Roman"/>
        </w:rPr>
        <w:t xml:space="preserve"> tăng cường, đã góp phần nâng c</w:t>
      </w:r>
      <w:r w:rsidR="00CA6F68" w:rsidRPr="0096195A">
        <w:rPr>
          <w:rFonts w:ascii="Times New Roman" w:hAnsi="Times New Roman"/>
          <w:lang w:val="it-IT"/>
        </w:rPr>
        <w:t>a</w:t>
      </w:r>
      <w:r w:rsidRPr="000F5A6E">
        <w:rPr>
          <w:rFonts w:ascii="Times New Roman" w:hAnsi="Times New Roman"/>
        </w:rPr>
        <w:t>o trách nhiệm của thủ trưởng các cấp, các ngành, các địa phương; kịp thời chấn chỉnh, khắc phục những tồn tại, thiếu sót, nâng cao chất lượng, hiệu quả công tác tiếp công dân, giải quyết khiếu nại tố cáo của công dân.</w:t>
      </w:r>
    </w:p>
    <w:p w14:paraId="65827317" w14:textId="77777777" w:rsidR="0075032A" w:rsidRPr="000F5A6E" w:rsidRDefault="00CA6F68" w:rsidP="000F5A6E">
      <w:pPr>
        <w:pStyle w:val="BodyText"/>
        <w:spacing w:before="120" w:line="264" w:lineRule="auto"/>
        <w:ind w:firstLine="700"/>
        <w:jc w:val="both"/>
        <w:rPr>
          <w:b/>
          <w:i/>
          <w:lang w:val="pt-BR"/>
        </w:rPr>
      </w:pPr>
      <w:r w:rsidRPr="000F5A6E">
        <w:rPr>
          <w:b/>
          <w:i/>
          <w:lang w:val="pt-BR"/>
        </w:rPr>
        <w:t xml:space="preserve">b) </w:t>
      </w:r>
      <w:r w:rsidR="0075032A" w:rsidRPr="000F5A6E">
        <w:rPr>
          <w:b/>
          <w:i/>
          <w:lang w:val="pt-BR"/>
        </w:rPr>
        <w:t xml:space="preserve">Tồn tại, hạn chế  </w:t>
      </w:r>
    </w:p>
    <w:p w14:paraId="5886325D" w14:textId="77777777" w:rsidR="00111D84" w:rsidRPr="000F5A6E" w:rsidRDefault="0075032A" w:rsidP="000F5A6E">
      <w:pPr>
        <w:pStyle w:val="BodyText"/>
        <w:spacing w:before="120" w:line="264" w:lineRule="auto"/>
        <w:ind w:firstLine="700"/>
        <w:jc w:val="both"/>
        <w:rPr>
          <w:lang w:val="pt-BR"/>
        </w:rPr>
      </w:pPr>
      <w:r w:rsidRPr="000F5A6E">
        <w:rPr>
          <w:lang w:val="pt-BR"/>
        </w:rPr>
        <w:t xml:space="preserve">Bên cạnh những kết quả đạt được, trong công tác tiếp công dân, xử lý đơn thư khiếu nại, tố cáo vẫn còn một số thiếu sót, hạn chế như: </w:t>
      </w:r>
    </w:p>
    <w:p w14:paraId="2F47010A" w14:textId="77777777" w:rsidR="0075032A" w:rsidRPr="000F5A6E" w:rsidRDefault="00111D84" w:rsidP="000F5A6E">
      <w:pPr>
        <w:pStyle w:val="BodyText"/>
        <w:spacing w:before="120" w:line="264" w:lineRule="auto"/>
        <w:ind w:firstLine="700"/>
        <w:jc w:val="both"/>
        <w:rPr>
          <w:lang w:val="pt-BR"/>
        </w:rPr>
      </w:pPr>
      <w:r w:rsidRPr="000F5A6E">
        <w:rPr>
          <w:lang w:val="pt-BR"/>
        </w:rPr>
        <w:lastRenderedPageBreak/>
        <w:t>- C</w:t>
      </w:r>
      <w:r w:rsidR="0075032A" w:rsidRPr="000F5A6E">
        <w:rPr>
          <w:lang w:val="pt-BR"/>
        </w:rPr>
        <w:t>ông tác tham mưu giải quyết khiếu nại, tố cáo ở một vài cơ quan chuyên môn còn chậm, chưa đáp ứng yêu cầu nhiệm vụ được giao, chất lượng hòa giải một số vụ việc ở cơ sở còn hạn chế.</w:t>
      </w:r>
    </w:p>
    <w:p w14:paraId="51FF9BA6" w14:textId="77777777" w:rsidR="0075032A" w:rsidRPr="0096195A" w:rsidRDefault="00111D84" w:rsidP="000F5A6E">
      <w:pPr>
        <w:pStyle w:val="BodyText"/>
        <w:spacing w:before="120" w:line="264" w:lineRule="auto"/>
        <w:ind w:firstLine="700"/>
        <w:jc w:val="both"/>
        <w:rPr>
          <w:lang w:val="pt-BR"/>
        </w:rPr>
      </w:pPr>
      <w:r w:rsidRPr="0096195A">
        <w:rPr>
          <w:lang w:val="pt-BR"/>
        </w:rPr>
        <w:t xml:space="preserve">- </w:t>
      </w:r>
      <w:r w:rsidR="0075032A" w:rsidRPr="0096195A">
        <w:rPr>
          <w:lang w:val="pt-BR"/>
        </w:rPr>
        <w:t>Công tác phổ biến, tuyên truyền các quy định pháp luật về khiếu nại, tố cáo về hình thức tuyên truyền, phổ biến chưa được phong phú chủ yếu tổ chức lồng ghép trong các cuộc họp cơ quan, hội thảo nên chưa thu hút được đông đảo quần chúng nhân dân tham gia.</w:t>
      </w:r>
    </w:p>
    <w:p w14:paraId="5602FFED" w14:textId="77777777" w:rsidR="007302CF" w:rsidRPr="0096195A" w:rsidRDefault="007302CF" w:rsidP="000F5A6E">
      <w:pPr>
        <w:spacing w:before="120" w:after="120" w:line="264" w:lineRule="auto"/>
        <w:ind w:firstLine="700"/>
        <w:jc w:val="both"/>
        <w:rPr>
          <w:lang w:val="pt-BR"/>
        </w:rPr>
      </w:pPr>
      <w:r w:rsidRPr="0096195A">
        <w:rPr>
          <w:lang w:val="pt-BR"/>
        </w:rPr>
        <w:t>- Công tác quản lý Nhà nước về khiếu nại, tố cáo được nâng lên nhưng chưa đáp ứng được yêu cầu đặt ra, chưa chủ động đề xuất giải quyết những vướng mắc, chưa thường xuyên kiểm tra, đôn đốc nhắc nhở; có một số vụ việc giải quyết còn chậm, thiếu kịp thời, chưa thực sự quan tâm đến quyền và lợi ích chính đáng, hợp pháp nên công dân không nhất trí, tiếp tục khiếu nại ...</w:t>
      </w:r>
    </w:p>
    <w:p w14:paraId="4C211205" w14:textId="77777777" w:rsidR="0075032A" w:rsidRPr="0096195A" w:rsidRDefault="00111D84" w:rsidP="000F5A6E">
      <w:pPr>
        <w:spacing w:before="120" w:after="120" w:line="264" w:lineRule="auto"/>
        <w:ind w:firstLine="700"/>
        <w:jc w:val="both"/>
        <w:rPr>
          <w:b/>
          <w:i/>
          <w:lang w:val="pt-BR"/>
        </w:rPr>
      </w:pPr>
      <w:r w:rsidRPr="0096195A">
        <w:rPr>
          <w:b/>
          <w:i/>
          <w:lang w:val="pt-BR"/>
        </w:rPr>
        <w:t>c)</w:t>
      </w:r>
      <w:r w:rsidR="0075032A" w:rsidRPr="0096195A">
        <w:rPr>
          <w:b/>
          <w:i/>
          <w:lang w:val="pt-BR"/>
        </w:rPr>
        <w:t xml:space="preserve"> Nguyên nhân dẫn đến tình trạng khiếu nại, tố cáo</w:t>
      </w:r>
    </w:p>
    <w:p w14:paraId="2BBD2B60" w14:textId="77777777" w:rsidR="0075032A" w:rsidRPr="0096195A" w:rsidRDefault="007302CF" w:rsidP="000F5A6E">
      <w:pPr>
        <w:spacing w:before="120" w:after="120" w:line="264" w:lineRule="auto"/>
        <w:ind w:firstLine="700"/>
        <w:jc w:val="both"/>
        <w:rPr>
          <w:lang w:val="pt-BR"/>
        </w:rPr>
      </w:pPr>
      <w:r w:rsidRPr="0096195A">
        <w:rPr>
          <w:lang w:val="pt-BR"/>
        </w:rPr>
        <w:t xml:space="preserve">- Nhận thức của người dân về </w:t>
      </w:r>
      <w:r w:rsidR="0075032A" w:rsidRPr="0096195A">
        <w:rPr>
          <w:lang w:val="pt-BR"/>
        </w:rPr>
        <w:t xml:space="preserve">chủ trương, chính sách của Đảng, pháp luật của Nhà nước </w:t>
      </w:r>
      <w:r w:rsidRPr="0096195A">
        <w:rPr>
          <w:lang w:val="pt-BR"/>
        </w:rPr>
        <w:t>chưa đầy đủ.</w:t>
      </w:r>
    </w:p>
    <w:p w14:paraId="1335C863" w14:textId="77777777" w:rsidR="0075032A" w:rsidRPr="0096195A" w:rsidRDefault="00111D84" w:rsidP="000F5A6E">
      <w:pPr>
        <w:spacing w:before="120" w:after="120" w:line="264" w:lineRule="auto"/>
        <w:ind w:firstLine="700"/>
        <w:jc w:val="both"/>
        <w:rPr>
          <w:lang w:val="pt-BR"/>
        </w:rPr>
      </w:pPr>
      <w:r w:rsidRPr="0096195A">
        <w:rPr>
          <w:lang w:val="pt-BR"/>
        </w:rPr>
        <w:t xml:space="preserve">- </w:t>
      </w:r>
      <w:r w:rsidR="007302CF" w:rsidRPr="0096195A">
        <w:rPr>
          <w:lang w:val="pt-BR"/>
        </w:rPr>
        <w:t>C</w:t>
      </w:r>
      <w:r w:rsidR="0075032A" w:rsidRPr="0096195A">
        <w:rPr>
          <w:lang w:val="pt-BR"/>
        </w:rPr>
        <w:t xml:space="preserve">ông tác quản lý đất đai trên địa bàn trong nhiều năm qua chưa chặt chẽ, việc xác định nguồn gốc đất chưa đúng dẫn đến khi xảy ra tranh chấp, thu hồi, giải tỏa gặp khó khăn. </w:t>
      </w:r>
    </w:p>
    <w:p w14:paraId="11552E86" w14:textId="77777777" w:rsidR="007302CF" w:rsidRPr="0096195A" w:rsidRDefault="007302CF" w:rsidP="000F5A6E">
      <w:pPr>
        <w:pStyle w:val="BodyText"/>
        <w:spacing w:before="120" w:line="264" w:lineRule="auto"/>
        <w:ind w:firstLine="700"/>
        <w:jc w:val="both"/>
        <w:rPr>
          <w:lang w:val="pt-BR"/>
        </w:rPr>
      </w:pPr>
      <w:r w:rsidRPr="0096195A">
        <w:rPr>
          <w:lang w:val="pt-BR"/>
        </w:rPr>
        <w:t xml:space="preserve">- </w:t>
      </w:r>
      <w:r w:rsidR="00EC1B97" w:rsidRPr="0096195A">
        <w:rPr>
          <w:lang w:val="pt-BR"/>
        </w:rPr>
        <w:t>Năng lực, trách nhiệm của một bộ phận c</w:t>
      </w:r>
      <w:r w:rsidRPr="0096195A">
        <w:rPr>
          <w:lang w:val="pt-BR"/>
        </w:rPr>
        <w:t xml:space="preserve">ông chức làm công tác tiếp công dân, xử lý đơn thư, tham mưu giải quyết đơn khiếu nại, tố cáo, kiến nghị, phản ánh nhất là ở cấp xã chủ yếu </w:t>
      </w:r>
      <w:r w:rsidR="00F807A9" w:rsidRPr="0096195A">
        <w:rPr>
          <w:lang w:val="pt-BR"/>
        </w:rPr>
        <w:t>còn hạn chế</w:t>
      </w:r>
      <w:r w:rsidRPr="0096195A">
        <w:rPr>
          <w:lang w:val="pt-BR"/>
        </w:rPr>
        <w:t>.</w:t>
      </w:r>
    </w:p>
    <w:p w14:paraId="0BE672C5" w14:textId="77777777" w:rsidR="0075032A" w:rsidRPr="000F5A6E" w:rsidRDefault="0075032A" w:rsidP="000F5A6E">
      <w:pPr>
        <w:spacing w:before="120" w:after="120" w:line="264" w:lineRule="auto"/>
        <w:ind w:firstLine="700"/>
        <w:jc w:val="both"/>
        <w:rPr>
          <w:b/>
          <w:lang w:val="pt-BR"/>
        </w:rPr>
      </w:pPr>
      <w:r w:rsidRPr="0096195A">
        <w:rPr>
          <w:b/>
          <w:lang w:val="pt-BR"/>
        </w:rPr>
        <w:t>2.</w:t>
      </w:r>
      <w:r w:rsidRPr="0096195A">
        <w:rPr>
          <w:lang w:val="pt-BR"/>
        </w:rPr>
        <w:t xml:space="preserve"> </w:t>
      </w:r>
      <w:r w:rsidRPr="000F5A6E">
        <w:rPr>
          <w:b/>
          <w:lang w:val="pt-BR"/>
        </w:rPr>
        <w:t>Dự báo tình hình khiếu nại, tố cáo của công dân trong kỳ tiếp theo</w:t>
      </w:r>
    </w:p>
    <w:p w14:paraId="22CDA9DD" w14:textId="1ECAC05E" w:rsidR="00B671E5" w:rsidRPr="0096195A" w:rsidRDefault="00F807A9" w:rsidP="000F5A6E">
      <w:pPr>
        <w:pStyle w:val="BodyText"/>
        <w:widowControl w:val="0"/>
        <w:spacing w:before="120" w:line="264" w:lineRule="auto"/>
        <w:ind w:firstLine="700"/>
        <w:jc w:val="both"/>
        <w:rPr>
          <w:lang w:val="pt-BR"/>
        </w:rPr>
      </w:pPr>
      <w:r w:rsidRPr="0096195A">
        <w:rPr>
          <w:lang w:val="pt-BR"/>
        </w:rPr>
        <w:t>T</w:t>
      </w:r>
      <w:r w:rsidR="0075032A" w:rsidRPr="0096195A">
        <w:rPr>
          <w:lang w:val="pt-BR"/>
        </w:rPr>
        <w:t>rong thời gian tới</w:t>
      </w:r>
      <w:r w:rsidR="00B671E5" w:rsidRPr="0096195A">
        <w:rPr>
          <w:lang w:val="pt-BR"/>
        </w:rPr>
        <w:t>, trong bối cảnh đang</w:t>
      </w:r>
      <w:r w:rsidR="0075032A" w:rsidRPr="0096195A">
        <w:rPr>
          <w:lang w:val="pt-BR"/>
        </w:rPr>
        <w:t xml:space="preserve"> diễn ra Đại hội Đảng</w:t>
      </w:r>
      <w:r w:rsidR="00B671E5" w:rsidRPr="0096195A">
        <w:rPr>
          <w:lang w:val="pt-BR"/>
        </w:rPr>
        <w:t xml:space="preserve"> các cấp</w:t>
      </w:r>
      <w:r w:rsidR="0075032A" w:rsidRPr="0096195A">
        <w:rPr>
          <w:lang w:val="pt-BR"/>
        </w:rPr>
        <w:t>;</w:t>
      </w:r>
      <w:r w:rsidR="003535EE" w:rsidRPr="0096195A">
        <w:rPr>
          <w:lang w:val="pt-BR"/>
        </w:rPr>
        <w:t xml:space="preserve"> triển khai thực hiện dự án nâng cấp sân bay Điện Biên Phủ</w:t>
      </w:r>
      <w:r w:rsidR="006B60BC" w:rsidRPr="0096195A">
        <w:rPr>
          <w:lang w:val="pt-BR"/>
        </w:rPr>
        <w:t xml:space="preserve"> và</w:t>
      </w:r>
      <w:r w:rsidR="0075032A" w:rsidRPr="0096195A">
        <w:rPr>
          <w:lang w:val="pt-BR"/>
        </w:rPr>
        <w:t xml:space="preserve"> tiếp tục triển khai các dự án xây dựng hạ tầng giao thông</w:t>
      </w:r>
      <w:r w:rsidR="006B60BC" w:rsidRPr="0096195A">
        <w:rPr>
          <w:lang w:val="pt-BR"/>
        </w:rPr>
        <w:t>, dự án</w:t>
      </w:r>
      <w:r w:rsidR="0075032A" w:rsidRPr="0096195A">
        <w:rPr>
          <w:lang w:val="pt-BR"/>
        </w:rPr>
        <w:t xml:space="preserve"> phát triển du lịch n</w:t>
      </w:r>
      <w:r w:rsidR="00B671E5" w:rsidRPr="0096195A">
        <w:rPr>
          <w:lang w:val="pt-BR"/>
        </w:rPr>
        <w:t xml:space="preserve">hằm phục vụ phát triển kinh tế - </w:t>
      </w:r>
      <w:r w:rsidR="0075032A" w:rsidRPr="0096195A">
        <w:rPr>
          <w:lang w:val="pt-BR"/>
        </w:rPr>
        <w:t>xã hội</w:t>
      </w:r>
      <w:r w:rsidR="00B671E5" w:rsidRPr="000F5A6E">
        <w:rPr>
          <w:rStyle w:val="FootnoteReference"/>
        </w:rPr>
        <w:footnoteReference w:id="2"/>
      </w:r>
      <w:r w:rsidR="0075032A" w:rsidRPr="0096195A">
        <w:rPr>
          <w:lang w:val="pt-BR"/>
        </w:rPr>
        <w:t xml:space="preserve"> </w:t>
      </w:r>
      <w:r w:rsidR="00F237E4" w:rsidRPr="0096195A">
        <w:rPr>
          <w:lang w:val="pt-BR"/>
        </w:rPr>
        <w:t xml:space="preserve">dự báo </w:t>
      </w:r>
      <w:r w:rsidR="0075032A" w:rsidRPr="0096195A">
        <w:rPr>
          <w:lang w:val="pt-BR"/>
        </w:rPr>
        <w:t>tình hình khiếu nại</w:t>
      </w:r>
      <w:r w:rsidR="00B671E5" w:rsidRPr="0096195A">
        <w:rPr>
          <w:lang w:val="pt-BR"/>
        </w:rPr>
        <w:t>,</w:t>
      </w:r>
      <w:r w:rsidR="0075032A" w:rsidRPr="0096195A">
        <w:rPr>
          <w:lang w:val="pt-BR"/>
        </w:rPr>
        <w:t xml:space="preserve"> tố cáo và kiến nghị, phản ánh của công dân trong thời gian tới </w:t>
      </w:r>
      <w:r w:rsidR="00F237E4" w:rsidRPr="0096195A">
        <w:rPr>
          <w:lang w:val="pt-BR"/>
        </w:rPr>
        <w:t>sẽ</w:t>
      </w:r>
      <w:r w:rsidR="006B60BC" w:rsidRPr="0096195A">
        <w:rPr>
          <w:lang w:val="pt-BR"/>
        </w:rPr>
        <w:t xml:space="preserve"> </w:t>
      </w:r>
      <w:r w:rsidR="0075032A" w:rsidRPr="0096195A">
        <w:rPr>
          <w:lang w:val="pt-BR"/>
        </w:rPr>
        <w:t>diễn biến phức tạp liên quan đến lĩnh vực đất đai và nhân sự Đại hội</w:t>
      </w:r>
      <w:r w:rsidR="00B671E5" w:rsidRPr="0096195A">
        <w:rPr>
          <w:lang w:val="pt-BR"/>
        </w:rPr>
        <w:t xml:space="preserve">. </w:t>
      </w:r>
    </w:p>
    <w:p w14:paraId="46FA42E6" w14:textId="4D51F796" w:rsidR="0075032A" w:rsidRPr="0096195A" w:rsidRDefault="00B671E5" w:rsidP="000F5A6E">
      <w:pPr>
        <w:pStyle w:val="BodyText"/>
        <w:widowControl w:val="0"/>
        <w:spacing w:before="120" w:line="264" w:lineRule="auto"/>
        <w:ind w:firstLine="700"/>
        <w:jc w:val="both"/>
        <w:rPr>
          <w:lang w:val="pt-BR"/>
        </w:rPr>
      </w:pPr>
      <w:r w:rsidRPr="0096195A">
        <w:rPr>
          <w:lang w:val="pt-BR"/>
        </w:rPr>
        <w:t>Vì vậy</w:t>
      </w:r>
      <w:r w:rsidR="00F237E4" w:rsidRPr="0096195A">
        <w:rPr>
          <w:lang w:val="pt-BR"/>
        </w:rPr>
        <w:t>,</w:t>
      </w:r>
      <w:r w:rsidRPr="0096195A">
        <w:rPr>
          <w:lang w:val="pt-BR"/>
        </w:rPr>
        <w:t xml:space="preserve"> các cơ quan, đơn vị, địa phương </w:t>
      </w:r>
      <w:r w:rsidR="0075032A" w:rsidRPr="0096195A">
        <w:rPr>
          <w:lang w:val="pt-BR"/>
        </w:rPr>
        <w:t xml:space="preserve">cần quan tâm hơn nữa công tác tuyên truyền, phổ biến </w:t>
      </w:r>
      <w:r w:rsidRPr="0096195A">
        <w:rPr>
          <w:lang w:val="pt-BR"/>
        </w:rPr>
        <w:t>chủ trương, chính sách của Đảng và pháp</w:t>
      </w:r>
      <w:r w:rsidR="0075032A" w:rsidRPr="0096195A">
        <w:rPr>
          <w:lang w:val="pt-BR"/>
        </w:rPr>
        <w:t xml:space="preserve"> luật có liên quan đến công tác thu hồi đất, bồi thườ</w:t>
      </w:r>
      <w:r w:rsidRPr="0096195A">
        <w:rPr>
          <w:lang w:val="pt-BR"/>
        </w:rPr>
        <w:t>ng hỗ trợ, giao đất tái định cư, công tác cán bộ</w:t>
      </w:r>
      <w:r w:rsidR="0075032A" w:rsidRPr="0096195A">
        <w:rPr>
          <w:lang w:val="pt-BR"/>
        </w:rPr>
        <w:t>... nhằm hạn chế đến mức thấp nhất việc phát sinh đơn.</w:t>
      </w:r>
    </w:p>
    <w:p w14:paraId="6DDC05D1" w14:textId="77777777" w:rsidR="006B60BC" w:rsidRDefault="006B60BC" w:rsidP="000F5A6E">
      <w:pPr>
        <w:widowControl w:val="0"/>
        <w:spacing w:before="120" w:after="120" w:line="264" w:lineRule="auto"/>
        <w:ind w:firstLine="700"/>
        <w:jc w:val="both"/>
        <w:rPr>
          <w:rFonts w:ascii="Times New Roman Bold" w:hAnsi="Times New Roman Bold"/>
          <w:b/>
          <w:sz w:val="26"/>
          <w:szCs w:val="26"/>
          <w:lang w:val="nl-NL"/>
        </w:rPr>
      </w:pPr>
    </w:p>
    <w:p w14:paraId="09E55391" w14:textId="2BE0E5C8" w:rsidR="0075032A" w:rsidRPr="000F5A6E" w:rsidRDefault="0075032A" w:rsidP="000F5A6E">
      <w:pPr>
        <w:widowControl w:val="0"/>
        <w:spacing w:before="120" w:after="120" w:line="264" w:lineRule="auto"/>
        <w:ind w:firstLine="700"/>
        <w:jc w:val="both"/>
        <w:rPr>
          <w:rFonts w:ascii="Times New Roman Bold" w:hAnsi="Times New Roman Bold"/>
          <w:b/>
          <w:sz w:val="26"/>
          <w:szCs w:val="26"/>
          <w:lang w:val="nl-NL"/>
        </w:rPr>
      </w:pPr>
      <w:r w:rsidRPr="000F5A6E">
        <w:rPr>
          <w:rFonts w:ascii="Times New Roman Bold" w:hAnsi="Times New Roman Bold"/>
          <w:b/>
          <w:sz w:val="26"/>
          <w:szCs w:val="26"/>
          <w:lang w:val="nl-NL"/>
        </w:rPr>
        <w:lastRenderedPageBreak/>
        <w:t>IV. PHƯƠNG HƯỚNG, NHIỆM VỤ CÔNG TÁC TIẾP CÔNG DÂN, XỬ LÝ ĐƠN THƯ VÀ GIẢI QUYẾT KHIẾU NẠI, TỐ CÁO 6 THÁNG CUỐI NĂM 2020</w:t>
      </w:r>
    </w:p>
    <w:p w14:paraId="3DC38544" w14:textId="77777777" w:rsidR="0075032A" w:rsidRPr="0096195A" w:rsidRDefault="0075032A" w:rsidP="000F5A6E">
      <w:pPr>
        <w:pStyle w:val="BodyText"/>
        <w:widowControl w:val="0"/>
        <w:spacing w:before="120" w:line="264" w:lineRule="auto"/>
        <w:ind w:firstLine="700"/>
        <w:jc w:val="both"/>
        <w:rPr>
          <w:lang w:val="nl-NL"/>
        </w:rPr>
      </w:pPr>
      <w:r w:rsidRPr="0096195A">
        <w:rPr>
          <w:lang w:val="nl-NL"/>
        </w:rPr>
        <w:t xml:space="preserve">1. </w:t>
      </w:r>
      <w:r w:rsidRPr="000F5A6E">
        <w:rPr>
          <w:lang w:val="nl-NL"/>
        </w:rPr>
        <w:t xml:space="preserve">Tiếp tục </w:t>
      </w:r>
      <w:r w:rsidR="008D694E" w:rsidRPr="000F5A6E">
        <w:rPr>
          <w:lang w:val="nl-NL"/>
        </w:rPr>
        <w:t xml:space="preserve">quán triệt, tuyên truyền và </w:t>
      </w:r>
      <w:r w:rsidR="00C54E20" w:rsidRPr="000F5A6E">
        <w:rPr>
          <w:lang w:val="nl-NL"/>
        </w:rPr>
        <w:t xml:space="preserve">chỉ đạo </w:t>
      </w:r>
      <w:r w:rsidR="008D694E" w:rsidRPr="000F5A6E">
        <w:rPr>
          <w:lang w:val="nl-NL"/>
        </w:rPr>
        <w:t>triển khai</w:t>
      </w:r>
      <w:r w:rsidRPr="000F5A6E">
        <w:rPr>
          <w:lang w:val="nl-NL"/>
        </w:rPr>
        <w:t xml:space="preserve"> thực hiện </w:t>
      </w:r>
      <w:r w:rsidR="005B7475" w:rsidRPr="000F5A6E">
        <w:rPr>
          <w:lang w:val="nl-NL"/>
        </w:rPr>
        <w:t>hiệu quả chủ trương, đường lối của Đảng, chính sách pháp</w:t>
      </w:r>
      <w:r w:rsidR="00594038" w:rsidRPr="000F5A6E">
        <w:rPr>
          <w:lang w:val="nl-NL"/>
        </w:rPr>
        <w:t xml:space="preserve"> luật của Nhà nước về công tác </w:t>
      </w:r>
      <w:r w:rsidR="005B7475" w:rsidRPr="000F5A6E">
        <w:rPr>
          <w:lang w:val="nl-NL"/>
        </w:rPr>
        <w:t xml:space="preserve">tiếp công dân, </w:t>
      </w:r>
      <w:r w:rsidR="00D94C56" w:rsidRPr="000F5A6E">
        <w:rPr>
          <w:lang w:val="nl-NL"/>
        </w:rPr>
        <w:t xml:space="preserve">giải quyết </w:t>
      </w:r>
      <w:r w:rsidR="005B7475" w:rsidRPr="000F5A6E">
        <w:rPr>
          <w:lang w:val="nl-NL"/>
        </w:rPr>
        <w:t>khiếu nại, tố cáo</w:t>
      </w:r>
      <w:r w:rsidR="005B7475" w:rsidRPr="000F5A6E">
        <w:rPr>
          <w:rStyle w:val="FootnoteReference"/>
          <w:lang w:val="nl-NL"/>
        </w:rPr>
        <w:footnoteReference w:id="3"/>
      </w:r>
      <w:r w:rsidR="005B7475" w:rsidRPr="000F5A6E">
        <w:rPr>
          <w:lang w:val="nl-NL"/>
        </w:rPr>
        <w:t>; c</w:t>
      </w:r>
      <w:r w:rsidRPr="0096195A">
        <w:rPr>
          <w:lang w:val="nl-NL"/>
        </w:rPr>
        <w:t>hỉ đạo các sở, ban, ngành, UBND các huyện, thị xã, thành phố tiếp tục quan tâm và nâng cao trách nhiệm</w:t>
      </w:r>
      <w:r w:rsidR="005B7475" w:rsidRPr="0096195A">
        <w:rPr>
          <w:lang w:val="nl-NL"/>
        </w:rPr>
        <w:t>, hiệu quả</w:t>
      </w:r>
      <w:r w:rsidRPr="0096195A">
        <w:rPr>
          <w:lang w:val="nl-NL"/>
        </w:rPr>
        <w:t xml:space="preserve"> </w:t>
      </w:r>
      <w:r w:rsidR="005B7475" w:rsidRPr="0096195A">
        <w:rPr>
          <w:lang w:val="nl-NL"/>
        </w:rPr>
        <w:t>tiếp công dân,</w:t>
      </w:r>
      <w:r w:rsidRPr="0096195A">
        <w:rPr>
          <w:lang w:val="nl-NL"/>
        </w:rPr>
        <w:t xml:space="preserve"> giải quyết dứt điểm, đúng hạn các khiếu nại, tố cáo phát sinh; thường xuyên rà soát, chỉ đạo giải quyết dứt điểm các vụ việc khiếu nại, tố cáo tồn đọng, phức tạp, kéo dài.</w:t>
      </w:r>
    </w:p>
    <w:p w14:paraId="10DC6643" w14:textId="018EC04A" w:rsidR="0075032A" w:rsidRPr="000F5A6E" w:rsidRDefault="0075032A" w:rsidP="000F5A6E">
      <w:pPr>
        <w:widowControl w:val="0"/>
        <w:spacing w:before="120" w:after="120" w:line="264" w:lineRule="auto"/>
        <w:ind w:firstLine="700"/>
        <w:jc w:val="both"/>
        <w:rPr>
          <w:lang w:val="nl-NL"/>
        </w:rPr>
      </w:pPr>
      <w:r w:rsidRPr="0096195A">
        <w:rPr>
          <w:lang w:val="nl-NL"/>
        </w:rPr>
        <w:t xml:space="preserve">2. </w:t>
      </w:r>
      <w:r w:rsidR="00594038" w:rsidRPr="0096195A">
        <w:rPr>
          <w:lang w:val="nl-NL"/>
        </w:rPr>
        <w:t xml:space="preserve">Chỉ đạo phối hợp tổ chức tiếp công dân phục vụ </w:t>
      </w:r>
      <w:r w:rsidR="00D94C56" w:rsidRPr="0096195A">
        <w:rPr>
          <w:lang w:val="nl-NL"/>
        </w:rPr>
        <w:t>Đ</w:t>
      </w:r>
      <w:r w:rsidR="00594038" w:rsidRPr="0096195A">
        <w:rPr>
          <w:lang w:val="nl-NL"/>
        </w:rPr>
        <w:t>ại hội Đảng bộ tỉnh và Đại hội</w:t>
      </w:r>
      <w:r w:rsidR="006B60BC" w:rsidRPr="0096195A">
        <w:rPr>
          <w:lang w:val="nl-NL"/>
        </w:rPr>
        <w:t xml:space="preserve"> Đại biểu</w:t>
      </w:r>
      <w:r w:rsidR="00594038" w:rsidRPr="0096195A">
        <w:rPr>
          <w:lang w:val="nl-NL"/>
        </w:rPr>
        <w:t xml:space="preserve"> toàn quốc lần thứ XIII của Đảng. </w:t>
      </w:r>
      <w:r w:rsidRPr="0096195A">
        <w:rPr>
          <w:lang w:val="nl-NL"/>
        </w:rPr>
        <w:t>Thực hiện tốt công tác tiếp công dân thường xuyên, định kỳ</w:t>
      </w:r>
      <w:r w:rsidRPr="000F5A6E">
        <w:rPr>
          <w:lang w:val="vi-VN"/>
        </w:rPr>
        <w:t xml:space="preserve"> </w:t>
      </w:r>
      <w:r w:rsidRPr="000F5A6E">
        <w:rPr>
          <w:lang w:val="nl-NL"/>
        </w:rPr>
        <w:t>tại Trụ sở Tiếp công dân của tỉnh, Trụ sở Tiếp công dân cấp huyện và địa điểm tiếp công dân của các đơn vị để tiếp nhận đơn thư, hướng dẫn công dân thực hiện quyền khiếu nại, tố cáo theo quy định của pháp luật. Thực hiện nghiêm túc việc thông báo t</w:t>
      </w:r>
      <w:r w:rsidRPr="0096195A">
        <w:rPr>
          <w:lang w:val="nl-NL"/>
        </w:rPr>
        <w:t xml:space="preserve">hông báo kết quả và chỉ đạo các ngành chức năng tập trung xem xét, giải quyết sau khi tiếp dân định kỳ. </w:t>
      </w:r>
      <w:r w:rsidRPr="000F5A6E">
        <w:rPr>
          <w:lang w:val="nl-NL"/>
        </w:rPr>
        <w:t>Nâng cao năng lực đội ngũ cán bộ, công chức tiếp công dân; gắn công tác tiếp công dân với giải quyết khiếu nại, tố cáo của từng ngành, từng cấp chính quyền.</w:t>
      </w:r>
    </w:p>
    <w:p w14:paraId="724BC2AC" w14:textId="77777777" w:rsidR="0075032A" w:rsidRPr="000F5A6E" w:rsidRDefault="0075032A" w:rsidP="000F5A6E">
      <w:pPr>
        <w:widowControl w:val="0"/>
        <w:spacing w:before="120" w:after="120" w:line="264" w:lineRule="auto"/>
        <w:ind w:firstLine="700"/>
        <w:jc w:val="both"/>
        <w:rPr>
          <w:lang w:val="it-IT"/>
        </w:rPr>
      </w:pPr>
      <w:r w:rsidRPr="000F5A6E">
        <w:rPr>
          <w:lang w:val="nl-NL"/>
        </w:rPr>
        <w:t>3. Chỉ đạo tăng cường</w:t>
      </w:r>
      <w:r w:rsidRPr="000F5A6E">
        <w:rPr>
          <w:lang w:val="it-IT"/>
        </w:rPr>
        <w:t xml:space="preserve"> thanh tra, kiểm tra trách nhiệm thủ trưởng các cơ quan, đơn vị, người có thẩm quyền trong việc chấp hành pháp luật về tiếp công dân, giải quyết khiếu nại, tố cáo nhằm kịp thời giải quyết chấn chỉnh các tồn tại, hạn chế trong công tác tiếp công dân, giải quyết khiếu nại, tố cáo, phát huy hơn nữa vai trò, trách nhiệm của thủ trưởng các ngành, các cấp trong quá trình thực hiện công tác này.</w:t>
      </w:r>
    </w:p>
    <w:p w14:paraId="5F783260" w14:textId="77777777" w:rsidR="0075032A" w:rsidRPr="000F5A6E" w:rsidRDefault="0075032A" w:rsidP="000F5A6E">
      <w:pPr>
        <w:widowControl w:val="0"/>
        <w:spacing w:before="120" w:after="120" w:line="264" w:lineRule="auto"/>
        <w:ind w:firstLine="700"/>
        <w:jc w:val="both"/>
        <w:rPr>
          <w:b/>
          <w:lang w:val="nl-NL"/>
        </w:rPr>
      </w:pPr>
      <w:r w:rsidRPr="000F5A6E">
        <w:rPr>
          <w:lang w:val="nl-NL"/>
        </w:rPr>
        <w:t xml:space="preserve">4. Chỉ đạo tổ chức giám sát, kiểm tra và thi hành nghiêm túc các quyết định giải quyết khiếu nại, quyết định xử lý tố cáo đã có hiệu lực pháp luật, nhất là những vụ việc phức tạp. </w:t>
      </w:r>
      <w:r w:rsidRPr="000F5A6E">
        <w:rPr>
          <w:lang w:val="pt-BR"/>
        </w:rPr>
        <w:t>T</w:t>
      </w:r>
      <w:r w:rsidRPr="000F5A6E">
        <w:rPr>
          <w:bCs/>
          <w:lang w:val="pt-BR"/>
        </w:rPr>
        <w:t>ập trung giải quyết có chất lượng các vụ việc khiếu nại, tố cáo, giải quyết đạt 85% trở lên đối với các vụ việc mới phát sinh; chú trọng việc tổ chức thực hiện quyết định giải quyết khiếu nại, quyết định xử lý tố cáo đã có hiệu lực pháp luật, phấn đấu đạt tỷ lệ trên 90%</w:t>
      </w:r>
      <w:r w:rsidRPr="000F5A6E">
        <w:rPr>
          <w:lang w:val="nl-NL"/>
        </w:rPr>
        <w:t xml:space="preserve">; thực hiện </w:t>
      </w:r>
      <w:r w:rsidR="005B7475" w:rsidRPr="000F5A6E">
        <w:rPr>
          <w:lang w:val="nl-NL"/>
        </w:rPr>
        <w:t xml:space="preserve">nghiêm </w:t>
      </w:r>
      <w:r w:rsidRPr="000F5A6E">
        <w:rPr>
          <w:lang w:val="nl-NL"/>
        </w:rPr>
        <w:t>chế độ thông tin báo cáo về tiếp công dân, giải quyết khiếu nại, tố cáo theo quy định của pháp luật.</w:t>
      </w:r>
    </w:p>
    <w:p w14:paraId="21316A50" w14:textId="77777777" w:rsidR="0075032A" w:rsidRPr="0096195A" w:rsidRDefault="0075032A" w:rsidP="000F5A6E">
      <w:pPr>
        <w:spacing w:before="120" w:after="120" w:line="264" w:lineRule="auto"/>
        <w:ind w:firstLine="700"/>
        <w:jc w:val="both"/>
        <w:rPr>
          <w:lang w:val="nl-NL"/>
        </w:rPr>
      </w:pPr>
      <w:r w:rsidRPr="0096195A">
        <w:rPr>
          <w:lang w:val="nl-NL"/>
        </w:rPr>
        <w:lastRenderedPageBreak/>
        <w:t xml:space="preserve">5. Tăng cường hiệu quả công tác cải cách hành chính trên cơ sở rà soát, đánh giá quy trình, kết quả thực hiện thủ tục hành chính trên các lĩnh vực, nhất là lĩnh vực đất đai, xây dựng, Công khai, minh bạch trong triển khai các dự án; phối hợp với các cơ quan truyền thông làm tốt công tác tuyên truyền để người dân nắm bắt, hiểu và thực hiện tốt các chủ trương, chính sách có liên quan trong công tác thu hồi đất, hỗ trợ, bồi thường... </w:t>
      </w:r>
    </w:p>
    <w:p w14:paraId="7FC845F1" w14:textId="77777777" w:rsidR="0075032A" w:rsidRPr="000F5A6E" w:rsidRDefault="0075032A" w:rsidP="000F5A6E">
      <w:pPr>
        <w:spacing w:before="120" w:after="120" w:line="264" w:lineRule="auto"/>
        <w:ind w:firstLine="700"/>
        <w:jc w:val="both"/>
      </w:pPr>
      <w:r w:rsidRPr="000F5A6E">
        <w:t xml:space="preserve">6. Chỉ đạo các ngành, địa phương tăng cường công tác quản lý, theo dõi nắm bắt thông tin về tình hình khiếu nại, tố cáo, kết quả giải quyết khiếu nại, tố cáo trên địa bàn tỉnh; </w:t>
      </w:r>
      <w:r w:rsidRPr="000F5A6E">
        <w:rPr>
          <w:bCs/>
        </w:rPr>
        <w:t xml:space="preserve">làm tốt công tác dự báo báo tình hình khiếu nại, tố cáo và </w:t>
      </w:r>
      <w:r w:rsidRPr="000F5A6E">
        <w:t xml:space="preserve">phối hợp </w:t>
      </w:r>
      <w:r w:rsidR="005B7475" w:rsidRPr="000F5A6E">
        <w:t>thực hiện</w:t>
      </w:r>
      <w:r w:rsidRPr="000F5A6E">
        <w:t xml:space="preserve"> các biện pháp nâng cao chất lượng công tác tiếp công dân, giải quyết khiếu nại, tố cáo </w:t>
      </w:r>
      <w:r w:rsidRPr="000F5A6E">
        <w:rPr>
          <w:bCs/>
        </w:rPr>
        <w:t xml:space="preserve">không để phát sinh sinh điểm nóng, nhằm phục vụ tốt Đại hội Đảng các cấp. </w:t>
      </w:r>
    </w:p>
    <w:p w14:paraId="4130284F" w14:textId="77777777" w:rsidR="0075032A" w:rsidRPr="000F5A6E" w:rsidRDefault="0075032A" w:rsidP="000F5A6E">
      <w:pPr>
        <w:spacing w:before="120" w:after="120" w:line="264" w:lineRule="auto"/>
        <w:ind w:firstLine="700"/>
        <w:jc w:val="both"/>
      </w:pPr>
      <w:r w:rsidRPr="000F5A6E">
        <w:t xml:space="preserve">7. </w:t>
      </w:r>
      <w:r w:rsidR="00473939" w:rsidRPr="000F5A6E">
        <w:t>Tăng cường</w:t>
      </w:r>
      <w:r w:rsidRPr="000F5A6E">
        <w:t xml:space="preserve"> </w:t>
      </w:r>
      <w:r w:rsidR="005B7475" w:rsidRPr="000F5A6E">
        <w:t xml:space="preserve">hướng dẫn, </w:t>
      </w:r>
      <w:r w:rsidRPr="000F5A6E">
        <w:t>tập huấn về nghiệp vụ cho cán bộ cơ sở về công tác tiếp công dân, tiếp nhận xử lý đơn thư, giải quyết khiếu nại, tố cáo; tăng cường công tác dân vận chính quyền và công tác phối hợp trong việc vận động nhân dân thực hiện các dự án phát triển kinh tế - xã hội địa phương.</w:t>
      </w:r>
    </w:p>
    <w:p w14:paraId="6F873EFB" w14:textId="77777777" w:rsidR="0075032A" w:rsidRPr="000F5A6E" w:rsidRDefault="003B0CD6" w:rsidP="000F5A6E">
      <w:pPr>
        <w:spacing w:before="120" w:after="120" w:line="264" w:lineRule="auto"/>
        <w:ind w:firstLine="700"/>
        <w:jc w:val="both"/>
        <w:rPr>
          <w:rStyle w:val="dieuCharChar"/>
          <w:b w:val="0"/>
          <w:color w:val="auto"/>
        </w:rPr>
      </w:pPr>
      <w:r w:rsidRPr="000F5A6E">
        <w:t xml:space="preserve">UBND tỉnh </w:t>
      </w:r>
      <w:r w:rsidR="0075032A" w:rsidRPr="000F5A6E">
        <w:t>báo cáo kết quả công tác tiếp công dân, giải quyết khiếu nại, tố cáo 6 tháng đầu năm 2020 và phương hướng, nhiệm vụ 6 tháng cuối năm 2020 trên địa bàn tỉnh Điện Biên</w:t>
      </w:r>
      <w:r w:rsidR="0075032A" w:rsidRPr="000F5A6E">
        <w:rPr>
          <w:rStyle w:val="dieuCharChar"/>
          <w:color w:val="auto"/>
        </w:rPr>
        <w:t>./.</w:t>
      </w:r>
    </w:p>
    <w:p w14:paraId="32880CAF" w14:textId="77777777" w:rsidR="0075032A" w:rsidRPr="005F55B5" w:rsidRDefault="0075032A" w:rsidP="0075032A">
      <w:pPr>
        <w:spacing w:before="120"/>
        <w:ind w:firstLine="700"/>
        <w:jc w:val="both"/>
        <w:rPr>
          <w:sz w:val="2"/>
        </w:rPr>
      </w:pPr>
    </w:p>
    <w:tbl>
      <w:tblPr>
        <w:tblW w:w="0" w:type="auto"/>
        <w:tblLook w:val="01E0" w:firstRow="1" w:lastRow="1" w:firstColumn="1" w:lastColumn="1" w:noHBand="0" w:noVBand="0"/>
      </w:tblPr>
      <w:tblGrid>
        <w:gridCol w:w="4554"/>
        <w:gridCol w:w="4518"/>
      </w:tblGrid>
      <w:tr w:rsidR="005F55B5" w:rsidRPr="005F55B5" w14:paraId="48ED35E5" w14:textId="77777777" w:rsidTr="005B7475">
        <w:trPr>
          <w:trHeight w:val="3001"/>
        </w:trPr>
        <w:tc>
          <w:tcPr>
            <w:tcW w:w="4611" w:type="dxa"/>
          </w:tcPr>
          <w:p w14:paraId="285B65D3" w14:textId="77777777" w:rsidR="0075032A" w:rsidRPr="005F55B5" w:rsidRDefault="0075032A" w:rsidP="00FE1776">
            <w:pPr>
              <w:rPr>
                <w:b/>
                <w:sz w:val="24"/>
                <w:szCs w:val="24"/>
              </w:rPr>
            </w:pPr>
            <w:r w:rsidRPr="005F55B5">
              <w:rPr>
                <w:sz w:val="24"/>
                <w:szCs w:val="24"/>
              </w:rPr>
              <w:t xml:space="preserve"> </w:t>
            </w:r>
            <w:r w:rsidRPr="005F55B5">
              <w:rPr>
                <w:b/>
                <w:i/>
                <w:iCs/>
                <w:sz w:val="24"/>
                <w:szCs w:val="24"/>
              </w:rPr>
              <w:t>Nơi nhận:</w:t>
            </w:r>
            <w:r w:rsidRPr="005F55B5">
              <w:rPr>
                <w:b/>
                <w:sz w:val="24"/>
                <w:szCs w:val="24"/>
              </w:rPr>
              <w:t xml:space="preserve"> </w:t>
            </w:r>
          </w:p>
          <w:p w14:paraId="555E17BB" w14:textId="59FDEBBF" w:rsidR="0075032A" w:rsidRDefault="0075032A" w:rsidP="00FE1776">
            <w:pPr>
              <w:rPr>
                <w:sz w:val="22"/>
                <w:szCs w:val="24"/>
              </w:rPr>
            </w:pPr>
            <w:r w:rsidRPr="005F55B5">
              <w:rPr>
                <w:b/>
                <w:sz w:val="22"/>
                <w:szCs w:val="24"/>
              </w:rPr>
              <w:t xml:space="preserve">- </w:t>
            </w:r>
            <w:r w:rsidRPr="005F55B5">
              <w:rPr>
                <w:sz w:val="22"/>
                <w:szCs w:val="24"/>
              </w:rPr>
              <w:t>TT Tỉnh ủy;</w:t>
            </w:r>
          </w:p>
          <w:p w14:paraId="7D49DF44" w14:textId="51781D84" w:rsidR="00DF02A0" w:rsidRDefault="00DF02A0" w:rsidP="00FE1776">
            <w:pPr>
              <w:rPr>
                <w:sz w:val="22"/>
                <w:szCs w:val="24"/>
              </w:rPr>
            </w:pPr>
            <w:r>
              <w:rPr>
                <w:sz w:val="22"/>
                <w:szCs w:val="24"/>
              </w:rPr>
              <w:t>- TT HĐND tỉnh;</w:t>
            </w:r>
          </w:p>
          <w:p w14:paraId="081127CC" w14:textId="0D23D021" w:rsidR="00DF02A0" w:rsidRPr="005F55B5" w:rsidRDefault="00DF02A0" w:rsidP="00FE1776">
            <w:pPr>
              <w:rPr>
                <w:sz w:val="22"/>
                <w:szCs w:val="24"/>
              </w:rPr>
            </w:pPr>
            <w:r>
              <w:rPr>
                <w:sz w:val="22"/>
                <w:szCs w:val="24"/>
              </w:rPr>
              <w:t>- Đoàn ĐBQH tỉnh;</w:t>
            </w:r>
          </w:p>
          <w:p w14:paraId="15C15719" w14:textId="77777777" w:rsidR="0075032A" w:rsidRPr="005F55B5" w:rsidRDefault="0075032A" w:rsidP="00FE1776">
            <w:pPr>
              <w:rPr>
                <w:sz w:val="22"/>
                <w:szCs w:val="24"/>
              </w:rPr>
            </w:pPr>
            <w:r w:rsidRPr="005F55B5">
              <w:rPr>
                <w:sz w:val="22"/>
                <w:szCs w:val="24"/>
              </w:rPr>
              <w:t>- Lãnh đạo UBND tỉnh;</w:t>
            </w:r>
          </w:p>
          <w:p w14:paraId="35371EB8" w14:textId="77777777" w:rsidR="0075032A" w:rsidRPr="005F55B5" w:rsidRDefault="0075032A" w:rsidP="00FE1776">
            <w:pPr>
              <w:rPr>
                <w:sz w:val="22"/>
                <w:szCs w:val="24"/>
              </w:rPr>
            </w:pPr>
            <w:r w:rsidRPr="005F55B5">
              <w:rPr>
                <w:sz w:val="22"/>
                <w:szCs w:val="24"/>
              </w:rPr>
              <w:t>- Đại biểu HĐND</w:t>
            </w:r>
            <w:r w:rsidR="005B7475" w:rsidRPr="005F55B5">
              <w:rPr>
                <w:sz w:val="22"/>
                <w:szCs w:val="24"/>
              </w:rPr>
              <w:t xml:space="preserve"> tỉnh</w:t>
            </w:r>
            <w:r w:rsidRPr="005F55B5">
              <w:rPr>
                <w:sz w:val="22"/>
                <w:szCs w:val="24"/>
              </w:rPr>
              <w:t>;</w:t>
            </w:r>
          </w:p>
          <w:p w14:paraId="1EA23B02" w14:textId="63429636" w:rsidR="0075032A" w:rsidRPr="005F55B5" w:rsidRDefault="0075032A" w:rsidP="00FE1776">
            <w:pPr>
              <w:rPr>
                <w:bCs/>
                <w:sz w:val="22"/>
                <w:szCs w:val="24"/>
              </w:rPr>
            </w:pPr>
            <w:r w:rsidRPr="005F55B5">
              <w:rPr>
                <w:bCs/>
                <w:sz w:val="22"/>
                <w:szCs w:val="24"/>
              </w:rPr>
              <w:t xml:space="preserve">- </w:t>
            </w:r>
            <w:r w:rsidR="00DF02A0">
              <w:rPr>
                <w:bCs/>
                <w:sz w:val="22"/>
                <w:szCs w:val="24"/>
              </w:rPr>
              <w:t>Các Sở, ban, ngành tỉnh;</w:t>
            </w:r>
          </w:p>
          <w:p w14:paraId="50BE7E1D" w14:textId="77777777" w:rsidR="0075032A" w:rsidRPr="005F55B5" w:rsidRDefault="00066ABE" w:rsidP="00FE1776">
            <w:pPr>
              <w:jc w:val="both"/>
              <w:rPr>
                <w:vertAlign w:val="superscript"/>
              </w:rPr>
            </w:pPr>
            <w:r w:rsidRPr="005F55B5">
              <w:rPr>
                <w:iCs/>
                <w:sz w:val="22"/>
                <w:szCs w:val="24"/>
              </w:rPr>
              <w:t>- Lưu: VT, NC</w:t>
            </w:r>
            <w:r w:rsidRPr="005F55B5">
              <w:rPr>
                <w:iCs/>
                <w:sz w:val="22"/>
                <w:szCs w:val="24"/>
                <w:vertAlign w:val="superscript"/>
              </w:rPr>
              <w:t>(LTT).</w:t>
            </w:r>
          </w:p>
        </w:tc>
        <w:tc>
          <w:tcPr>
            <w:tcW w:w="4572" w:type="dxa"/>
          </w:tcPr>
          <w:p w14:paraId="36F8F5D4" w14:textId="77777777" w:rsidR="0075032A" w:rsidRPr="005F55B5" w:rsidRDefault="0075032A" w:rsidP="00FE1776">
            <w:pPr>
              <w:jc w:val="center"/>
              <w:rPr>
                <w:b/>
                <w:sz w:val="26"/>
              </w:rPr>
            </w:pPr>
            <w:r w:rsidRPr="005F55B5">
              <w:rPr>
                <w:b/>
                <w:sz w:val="26"/>
              </w:rPr>
              <w:t xml:space="preserve">TM. ỦY BAN NHÂN DÂN  </w:t>
            </w:r>
          </w:p>
          <w:p w14:paraId="07FB90F3" w14:textId="77777777" w:rsidR="0075032A" w:rsidRPr="005F55B5" w:rsidRDefault="0075032A" w:rsidP="00FE1776">
            <w:pPr>
              <w:tabs>
                <w:tab w:val="left" w:pos="9360"/>
              </w:tabs>
              <w:ind w:right="131"/>
              <w:jc w:val="center"/>
              <w:rPr>
                <w:b/>
                <w:iCs/>
                <w:sz w:val="26"/>
              </w:rPr>
            </w:pPr>
            <w:r w:rsidRPr="005F55B5">
              <w:rPr>
                <w:b/>
                <w:iCs/>
                <w:sz w:val="26"/>
              </w:rPr>
              <w:t>CHỦ TỊCH</w:t>
            </w:r>
          </w:p>
          <w:p w14:paraId="58F45FF7" w14:textId="77777777" w:rsidR="0075032A" w:rsidRPr="005F55B5" w:rsidRDefault="0075032A" w:rsidP="00FE1776">
            <w:pPr>
              <w:tabs>
                <w:tab w:val="left" w:pos="9360"/>
              </w:tabs>
              <w:ind w:right="131"/>
              <w:jc w:val="center"/>
              <w:rPr>
                <w:b/>
                <w:iCs/>
                <w:sz w:val="26"/>
              </w:rPr>
            </w:pPr>
          </w:p>
          <w:p w14:paraId="32126E95" w14:textId="77777777" w:rsidR="0075032A" w:rsidRPr="005F55B5" w:rsidRDefault="0075032A" w:rsidP="00FE1776">
            <w:pPr>
              <w:tabs>
                <w:tab w:val="left" w:pos="9360"/>
              </w:tabs>
              <w:ind w:right="131"/>
              <w:rPr>
                <w:b/>
                <w:iCs/>
              </w:rPr>
            </w:pPr>
          </w:p>
          <w:p w14:paraId="08291A88" w14:textId="66FD654F" w:rsidR="0075032A" w:rsidRPr="0096195A" w:rsidRDefault="0096195A" w:rsidP="0096195A">
            <w:pPr>
              <w:tabs>
                <w:tab w:val="left" w:pos="9360"/>
              </w:tabs>
              <w:ind w:right="131"/>
              <w:jc w:val="center"/>
              <w:rPr>
                <w:i/>
                <w:iCs/>
              </w:rPr>
            </w:pPr>
            <w:r w:rsidRPr="0096195A">
              <w:rPr>
                <w:i/>
                <w:iCs/>
              </w:rPr>
              <w:t>(Đã ký)</w:t>
            </w:r>
          </w:p>
          <w:p w14:paraId="2BEB8310" w14:textId="77777777" w:rsidR="0075032A" w:rsidRDefault="0075032A" w:rsidP="00FE1776">
            <w:pPr>
              <w:tabs>
                <w:tab w:val="left" w:pos="9360"/>
              </w:tabs>
              <w:ind w:right="131"/>
              <w:jc w:val="center"/>
              <w:rPr>
                <w:b/>
                <w:iCs/>
              </w:rPr>
            </w:pPr>
          </w:p>
          <w:p w14:paraId="22247C37" w14:textId="77777777" w:rsidR="0096195A" w:rsidRPr="005F55B5" w:rsidRDefault="0096195A" w:rsidP="00FE1776">
            <w:pPr>
              <w:tabs>
                <w:tab w:val="left" w:pos="9360"/>
              </w:tabs>
              <w:ind w:right="131"/>
              <w:jc w:val="center"/>
              <w:rPr>
                <w:b/>
                <w:iCs/>
              </w:rPr>
            </w:pPr>
            <w:bookmarkStart w:id="0" w:name="_GoBack"/>
            <w:bookmarkEnd w:id="0"/>
          </w:p>
          <w:p w14:paraId="050FC45F" w14:textId="77777777" w:rsidR="0075032A" w:rsidRPr="005F55B5" w:rsidRDefault="0075032A" w:rsidP="00FE1776">
            <w:pPr>
              <w:tabs>
                <w:tab w:val="left" w:pos="9360"/>
              </w:tabs>
              <w:ind w:right="131"/>
              <w:jc w:val="center"/>
              <w:rPr>
                <w:b/>
                <w:iCs/>
              </w:rPr>
            </w:pPr>
            <w:r w:rsidRPr="005F55B5">
              <w:rPr>
                <w:b/>
                <w:iCs/>
              </w:rPr>
              <w:t xml:space="preserve">    Mùa A Sơn</w:t>
            </w:r>
          </w:p>
        </w:tc>
      </w:tr>
    </w:tbl>
    <w:p w14:paraId="4F3973AC" w14:textId="77777777" w:rsidR="00A1534F" w:rsidRPr="005F55B5" w:rsidRDefault="00A1534F"/>
    <w:sectPr w:rsidR="00A1534F" w:rsidRPr="005F55B5" w:rsidSect="00D1520C">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850A" w14:textId="77777777" w:rsidR="00F26179" w:rsidRDefault="00F26179" w:rsidP="0075032A">
      <w:r>
        <w:separator/>
      </w:r>
    </w:p>
  </w:endnote>
  <w:endnote w:type="continuationSeparator" w:id="0">
    <w:p w14:paraId="1655EEB4" w14:textId="77777777" w:rsidR="00F26179" w:rsidRDefault="00F26179" w:rsidP="0075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
    <w:altName w:val="Times New Roman"/>
    <w:panose1 w:val="00000000000000000000"/>
    <w:charset w:val="00"/>
    <w:family w:val="roman"/>
    <w:notTrueType/>
    <w:pitch w:val="default"/>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66E3" w14:textId="77777777" w:rsidR="000E225E" w:rsidRDefault="000E225E">
    <w:pPr>
      <w:pStyle w:val="Footer"/>
      <w:jc w:val="center"/>
    </w:pPr>
  </w:p>
  <w:p w14:paraId="26CACBC9" w14:textId="77777777" w:rsidR="000E225E" w:rsidRDefault="000E2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313B9" w14:textId="77777777" w:rsidR="00F26179" w:rsidRDefault="00F26179" w:rsidP="0075032A">
      <w:r>
        <w:separator/>
      </w:r>
    </w:p>
  </w:footnote>
  <w:footnote w:type="continuationSeparator" w:id="0">
    <w:p w14:paraId="5EF6FE75" w14:textId="77777777" w:rsidR="00F26179" w:rsidRDefault="00F26179" w:rsidP="0075032A">
      <w:r>
        <w:continuationSeparator/>
      </w:r>
    </w:p>
  </w:footnote>
  <w:footnote w:id="1">
    <w:p w14:paraId="75AAD11F" w14:textId="77777777" w:rsidR="0075032A" w:rsidRPr="00DC6CA4" w:rsidRDefault="0075032A" w:rsidP="00B42F23">
      <w:pPr>
        <w:pStyle w:val="FootnoteText"/>
        <w:jc w:val="both"/>
      </w:pPr>
      <w:r w:rsidRPr="00DC6CA4">
        <w:rPr>
          <w:rStyle w:val="FootnoteReference"/>
        </w:rPr>
        <w:footnoteRef/>
      </w:r>
      <w:r w:rsidRPr="00DC6CA4">
        <w:t xml:space="preserve"> </w:t>
      </w:r>
      <w:r w:rsidRPr="00DC6CA4">
        <w:rPr>
          <w:lang w:val="nl-NL"/>
        </w:rPr>
        <w:t>Ông Thào A Tòng và 08 hộ dân - Bản Nà Pán, xã Mường Nhé - Đề nghị được hỗ trợ làm nhà ở (chương trình hỗ trợ nhà ở của Bộ Công an) cho 18 hộ dân bản Nà Pán, xã Mường Nhé; ông Giàng A Sinh đại diện 28 hộ dân - Bản Si Ma 2, xã Chung Chải - Đề nghị được hỗ trợ tiền làm nhà ở theo đề</w:t>
      </w:r>
      <w:r>
        <w:rPr>
          <w:lang w:val="nl-NL"/>
        </w:rPr>
        <w:t xml:space="preserve"> án 79/CP; Đề nghị xét cấp giấy chứng nhận Quyền sử dụng đất cho các hộ dân khu C9, xã Thanh Xương huyện Điện Biên.</w:t>
      </w:r>
    </w:p>
  </w:footnote>
  <w:footnote w:id="2">
    <w:p w14:paraId="35257E62" w14:textId="77777777" w:rsidR="00B671E5" w:rsidRDefault="00B671E5" w:rsidP="00B42F23">
      <w:pPr>
        <w:pStyle w:val="FootnoteText"/>
        <w:jc w:val="both"/>
      </w:pPr>
      <w:r>
        <w:rPr>
          <w:rStyle w:val="FootnoteReference"/>
        </w:rPr>
        <w:footnoteRef/>
      </w:r>
      <w:r>
        <w:t xml:space="preserve"> </w:t>
      </w:r>
      <w:r w:rsidRPr="000D0752">
        <w:t>Dự án đầu tư bổ sung đoạn tuyến đường nối từ đường Võ Nguyên Giáp đến khu TĐC Noong Bua thuộc dự án đầu tư xây dựng công trình: Dự án đại lộ 60m và Dự án Hạ tầng kỹ thuật khung thuộc Khu đô thị mới phía đông thành phố Điện Biên Phủ; dự án khu đô thị Tân thanh; Đề án 79 về sắp xếp ổn định dân cư và một</w:t>
      </w:r>
      <w:r>
        <w:t xml:space="preserve"> số Dự án đang triển khai khác...</w:t>
      </w:r>
    </w:p>
  </w:footnote>
  <w:footnote w:id="3">
    <w:p w14:paraId="7A6E53A2" w14:textId="77777777" w:rsidR="005B7475" w:rsidRDefault="005B7475" w:rsidP="00B42F23">
      <w:pPr>
        <w:pStyle w:val="FootnoteText"/>
        <w:jc w:val="both"/>
      </w:pPr>
      <w:r>
        <w:rPr>
          <w:rStyle w:val="FootnoteReference"/>
        </w:rPr>
        <w:footnoteRef/>
      </w:r>
      <w:r>
        <w:t xml:space="preserve"> </w:t>
      </w:r>
      <w:r w:rsidRPr="00100695">
        <w:rPr>
          <w:color w:val="000000"/>
          <w:lang w:val="nl-NL"/>
        </w:rPr>
        <w:t>Chỉ thị số 35-CT/TW ngày</w:t>
      </w:r>
      <w:r w:rsidRPr="00100695">
        <w:rPr>
          <w:color w:val="000000"/>
        </w:rPr>
        <w:t xml:space="preserve"> </w:t>
      </w:r>
      <w:r w:rsidRPr="00100695">
        <w:rPr>
          <w:color w:val="000000"/>
          <w:lang w:val="nl-NL"/>
        </w:rPr>
        <w:t>26/5/2014 của Bộ Chính trị về tăng cường sự lãnh đạo của Đảng đối với công tác tiếp công dân và giải quyết khiếu nại, tố cáo; Nghị quyết số 39/2012/QH13 ngày 23/12/2012 của Quốc hội về tiếp tục nâng cao hiêu lực, hiệu quả chính sách, pháp luật trong tiếp công dân, giải quyết khiếu nại, tố cáo đối với các quyết định hành chính về đất đai; Chỉ thị số 14/CT-TTg ngày 18/5/2012 của Thủ tướng Chính phủ về chấn chỉnh và nâng cao hiệu quả công tác tiếp dân, giải quyết khiếu nại, tố cáo</w:t>
      </w:r>
      <w:r>
        <w:rPr>
          <w:color w:val="000000"/>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415453"/>
      <w:docPartObj>
        <w:docPartGallery w:val="Page Numbers (Top of Page)"/>
        <w:docPartUnique/>
      </w:docPartObj>
    </w:sdtPr>
    <w:sdtEndPr>
      <w:rPr>
        <w:noProof/>
      </w:rPr>
    </w:sdtEndPr>
    <w:sdtContent>
      <w:p w14:paraId="5AFAA38F" w14:textId="77777777" w:rsidR="000E225E" w:rsidRDefault="000E225E" w:rsidP="000E225E">
        <w:pPr>
          <w:pStyle w:val="Header"/>
          <w:jc w:val="center"/>
        </w:pPr>
        <w:r>
          <w:fldChar w:fldCharType="begin"/>
        </w:r>
        <w:r>
          <w:instrText xml:space="preserve"> PAGE   \* MERGEFORMAT </w:instrText>
        </w:r>
        <w:r>
          <w:fldChar w:fldCharType="separate"/>
        </w:r>
        <w:r w:rsidR="0096195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840C3"/>
    <w:multiLevelType w:val="hybridMultilevel"/>
    <w:tmpl w:val="3C340F98"/>
    <w:lvl w:ilvl="0" w:tplc="C3D8B35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A"/>
    <w:rsid w:val="00066ABE"/>
    <w:rsid w:val="000E225E"/>
    <w:rsid w:val="000F5A6E"/>
    <w:rsid w:val="00111D84"/>
    <w:rsid w:val="002C4611"/>
    <w:rsid w:val="003535EE"/>
    <w:rsid w:val="00397B53"/>
    <w:rsid w:val="003B0CD6"/>
    <w:rsid w:val="004232F7"/>
    <w:rsid w:val="00473939"/>
    <w:rsid w:val="00594038"/>
    <w:rsid w:val="005B7475"/>
    <w:rsid w:val="005D5E51"/>
    <w:rsid w:val="005F55B5"/>
    <w:rsid w:val="006B60BC"/>
    <w:rsid w:val="007302CF"/>
    <w:rsid w:val="00731DBF"/>
    <w:rsid w:val="00744785"/>
    <w:rsid w:val="0075032A"/>
    <w:rsid w:val="008D694E"/>
    <w:rsid w:val="0096195A"/>
    <w:rsid w:val="009973CD"/>
    <w:rsid w:val="009F3825"/>
    <w:rsid w:val="00A1534F"/>
    <w:rsid w:val="00AB63EB"/>
    <w:rsid w:val="00B42F23"/>
    <w:rsid w:val="00B671E5"/>
    <w:rsid w:val="00BC3C58"/>
    <w:rsid w:val="00C2265A"/>
    <w:rsid w:val="00C462F4"/>
    <w:rsid w:val="00C54E20"/>
    <w:rsid w:val="00CA6F68"/>
    <w:rsid w:val="00CD0AB1"/>
    <w:rsid w:val="00D1520C"/>
    <w:rsid w:val="00D94C56"/>
    <w:rsid w:val="00DF02A0"/>
    <w:rsid w:val="00E13D14"/>
    <w:rsid w:val="00E232E2"/>
    <w:rsid w:val="00E942CA"/>
    <w:rsid w:val="00EC1B97"/>
    <w:rsid w:val="00F237E4"/>
    <w:rsid w:val="00F26179"/>
    <w:rsid w:val="00F8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3F5BFA"/>
  <w15:docId w15:val="{C7D92D05-E2EC-4683-8AE4-996C050D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5032A"/>
    <w:pPr>
      <w:ind w:firstLine="560"/>
    </w:pPr>
    <w:rPr>
      <w:rFonts w:ascii=".VnTime" w:hAnsi=".VnTime"/>
      <w:szCs w:val="24"/>
      <w:lang w:val="vi-VN" w:eastAsia="vi-VN"/>
    </w:rPr>
  </w:style>
  <w:style w:type="character" w:customStyle="1" w:styleId="BodyTextIndentChar">
    <w:name w:val="Body Text Indent Char"/>
    <w:basedOn w:val="DefaultParagraphFont"/>
    <w:link w:val="BodyTextIndent"/>
    <w:rsid w:val="0075032A"/>
    <w:rPr>
      <w:rFonts w:ascii=".VnTime" w:eastAsia="Times New Roman" w:hAnsi=".VnTime" w:cs="Times New Roman"/>
      <w:szCs w:val="24"/>
      <w:lang w:val="vi-VN" w:eastAsia="vi-VN"/>
    </w:rPr>
  </w:style>
  <w:style w:type="character" w:customStyle="1" w:styleId="dieuCharChar">
    <w:name w:val="dieu Char Char"/>
    <w:rsid w:val="0075032A"/>
    <w:rPr>
      <w:b/>
      <w:color w:val="0000FF"/>
      <w:sz w:val="24"/>
      <w:lang w:val="en-US" w:eastAsia="en-US"/>
    </w:rPr>
  </w:style>
  <w:style w:type="paragraph" w:styleId="BodyText">
    <w:name w:val="Body Text"/>
    <w:aliases w:val="bt"/>
    <w:basedOn w:val="Normal"/>
    <w:link w:val="BodyTextChar"/>
    <w:rsid w:val="0075032A"/>
    <w:pPr>
      <w:spacing w:after="120"/>
    </w:pPr>
  </w:style>
  <w:style w:type="character" w:customStyle="1" w:styleId="BodyTextChar">
    <w:name w:val="Body Text Char"/>
    <w:aliases w:val="bt Char"/>
    <w:basedOn w:val="DefaultParagraphFont"/>
    <w:link w:val="BodyText"/>
    <w:rsid w:val="0075032A"/>
    <w:rPr>
      <w:rFonts w:eastAsia="Times New Roman" w:cs="Times New Roman"/>
      <w:szCs w:val="28"/>
    </w:rPr>
  </w:style>
  <w:style w:type="paragraph" w:styleId="FootnoteText">
    <w:name w:val="footnote text"/>
    <w:aliases w:val="Char9,Footnote Text Char Char Char Char Char,Footnote Text Char Char Char Char Char Char Ch Char Char Char,fn,fn Char Char,Cha,Char,Footnote Text Char Char Char Char Char Char Ch,Footnotes,Footnote ak, Char9, Cha,footnote text"/>
    <w:basedOn w:val="Normal"/>
    <w:link w:val="FootnoteTextChar"/>
    <w:uiPriority w:val="99"/>
    <w:rsid w:val="0075032A"/>
    <w:rPr>
      <w:sz w:val="20"/>
      <w:szCs w:val="20"/>
    </w:rPr>
  </w:style>
  <w:style w:type="character" w:customStyle="1" w:styleId="FootnoteTextChar">
    <w:name w:val="Footnote Text Char"/>
    <w:aliases w:val="Char9 Char,Footnote Text Char Char Char Char Char Char,Footnote Text Char Char Char Char Char Char Ch Char Char Char Char,fn Char,fn Char Char Char,Cha Char,Char Char,Footnote Text Char Char Char Char Char Char Ch Char,Footnotes Char"/>
    <w:basedOn w:val="DefaultParagraphFont"/>
    <w:link w:val="FootnoteText"/>
    <w:uiPriority w:val="99"/>
    <w:rsid w:val="0075032A"/>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
    <w:uiPriority w:val="99"/>
    <w:semiHidden/>
    <w:rsid w:val="0075032A"/>
    <w:rPr>
      <w:rFonts w:cs="Times New Roman"/>
      <w:vertAlign w:val="superscript"/>
    </w:rPr>
  </w:style>
  <w:style w:type="paragraph" w:styleId="ListParagraph">
    <w:name w:val="List Paragraph"/>
    <w:basedOn w:val="Normal"/>
    <w:uiPriority w:val="34"/>
    <w:qFormat/>
    <w:rsid w:val="0075032A"/>
    <w:pPr>
      <w:ind w:left="720"/>
      <w:contextualSpacing/>
    </w:pPr>
  </w:style>
  <w:style w:type="paragraph" w:styleId="Header">
    <w:name w:val="header"/>
    <w:basedOn w:val="Normal"/>
    <w:link w:val="HeaderChar"/>
    <w:uiPriority w:val="99"/>
    <w:unhideWhenUsed/>
    <w:rsid w:val="000E225E"/>
    <w:pPr>
      <w:tabs>
        <w:tab w:val="center" w:pos="4680"/>
        <w:tab w:val="right" w:pos="9360"/>
      </w:tabs>
    </w:pPr>
  </w:style>
  <w:style w:type="character" w:customStyle="1" w:styleId="HeaderChar">
    <w:name w:val="Header Char"/>
    <w:basedOn w:val="DefaultParagraphFont"/>
    <w:link w:val="Header"/>
    <w:uiPriority w:val="99"/>
    <w:rsid w:val="000E225E"/>
    <w:rPr>
      <w:rFonts w:eastAsia="Times New Roman" w:cs="Times New Roman"/>
      <w:szCs w:val="28"/>
    </w:rPr>
  </w:style>
  <w:style w:type="paragraph" w:styleId="Footer">
    <w:name w:val="footer"/>
    <w:basedOn w:val="Normal"/>
    <w:link w:val="FooterChar"/>
    <w:uiPriority w:val="99"/>
    <w:unhideWhenUsed/>
    <w:rsid w:val="000E225E"/>
    <w:pPr>
      <w:tabs>
        <w:tab w:val="center" w:pos="4680"/>
        <w:tab w:val="right" w:pos="9360"/>
      </w:tabs>
    </w:pPr>
  </w:style>
  <w:style w:type="character" w:customStyle="1" w:styleId="FooterChar">
    <w:name w:val="Footer Char"/>
    <w:basedOn w:val="DefaultParagraphFont"/>
    <w:link w:val="Footer"/>
    <w:uiPriority w:val="99"/>
    <w:rsid w:val="000E225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ACB8-4629-42E0-A620-E67B3148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cp:lastModifiedBy>My PC</cp:lastModifiedBy>
  <cp:revision>4</cp:revision>
  <dcterms:created xsi:type="dcterms:W3CDTF">2020-07-07T07:29:00Z</dcterms:created>
  <dcterms:modified xsi:type="dcterms:W3CDTF">2020-07-07T09:31:00Z</dcterms:modified>
</cp:coreProperties>
</file>