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78" w:type="pct"/>
        <w:tblBorders>
          <w:top w:val="nil"/>
          <w:bottom w:val="nil"/>
          <w:insideH w:val="nil"/>
          <w:insideV w:val="nil"/>
        </w:tblBorders>
        <w:tblCellMar>
          <w:left w:w="0" w:type="dxa"/>
          <w:right w:w="0" w:type="dxa"/>
        </w:tblCellMar>
        <w:tblLook w:val="04A0" w:firstRow="1" w:lastRow="0" w:firstColumn="1" w:lastColumn="0" w:noHBand="0" w:noVBand="1"/>
      </w:tblPr>
      <w:tblGrid>
        <w:gridCol w:w="3445"/>
        <w:gridCol w:w="5769"/>
      </w:tblGrid>
      <w:tr w:rsidR="00417712" w14:paraId="5906B97D" w14:textId="77777777" w:rsidTr="00820701">
        <w:trPr>
          <w:trHeight w:val="850"/>
        </w:trPr>
        <w:tc>
          <w:tcPr>
            <w:tcW w:w="3445" w:type="dxa"/>
            <w:tcBorders>
              <w:top w:val="nil"/>
              <w:left w:val="nil"/>
              <w:bottom w:val="nil"/>
              <w:right w:val="nil"/>
              <w:tl2br w:val="nil"/>
              <w:tr2bl w:val="nil"/>
            </w:tcBorders>
            <w:shd w:val="clear" w:color="auto" w:fill="auto"/>
            <w:tcMar>
              <w:top w:w="0" w:type="dxa"/>
              <w:left w:w="108" w:type="dxa"/>
              <w:bottom w:w="0" w:type="dxa"/>
              <w:right w:w="108" w:type="dxa"/>
            </w:tcMar>
          </w:tcPr>
          <w:p w14:paraId="48F2D24F" w14:textId="6F5B667B" w:rsidR="00417712" w:rsidRDefault="007478C3">
            <w:pPr>
              <w:spacing w:before="120"/>
              <w:jc w:val="center"/>
              <w:rPr>
                <w:sz w:val="26"/>
                <w:szCs w:val="26"/>
              </w:rPr>
            </w:pPr>
            <w:r>
              <w:rPr>
                <w:b/>
                <w:bCs/>
                <w:noProof/>
                <w:sz w:val="26"/>
                <w:szCs w:val="26"/>
              </w:rPr>
              <mc:AlternateContent>
                <mc:Choice Requires="wps">
                  <w:drawing>
                    <wp:anchor distT="0" distB="0" distL="114300" distR="114300" simplePos="0" relativeHeight="251674112" behindDoc="0" locked="0" layoutInCell="1" allowOverlap="1" wp14:anchorId="4CF7A5D8" wp14:editId="10C1A173">
                      <wp:simplePos x="0" y="0"/>
                      <wp:positionH relativeFrom="column">
                        <wp:posOffset>567690</wp:posOffset>
                      </wp:positionH>
                      <wp:positionV relativeFrom="paragraph">
                        <wp:posOffset>480060</wp:posOffset>
                      </wp:positionV>
                      <wp:extent cx="752475" cy="0"/>
                      <wp:effectExtent l="9525" t="9525" r="9525" b="952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B83BFB" id="_x0000_t32" coordsize="21600,21600" o:spt="32" o:oned="t" path="m,l21600,21600e" filled="f">
                      <v:path arrowok="t" fillok="f" o:connecttype="none"/>
                      <o:lock v:ext="edit" shapetype="t"/>
                    </v:shapetype>
                    <v:shape id="AutoShape 8" o:spid="_x0000_s1026" type="#_x0000_t32" style="position:absolute;margin-left:44.7pt;margin-top:37.8pt;width:59.2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cl4AEAALcDAAAOAAAAZHJzL2Uyb0RvYy54bWysU8Fu2zAMvQ/YPwi6L06CZu2MOMWQrrt0&#10;W4B2H8BIsi1MFgVKiZO/H6UmabddhmE+CJb5+Mj3SC9vD4MTe0PRom/kbDKVwniF2vqukd+f7t/d&#10;SBETeA0OvWnk0UR5u3r7ZjmG2syxR6cNCSbxsR5DI/uUQl1VUfVmgDjBYDwHW6QBEl+pqzTByOyD&#10;q+bT6ftqRNKBUJkY+evdc1CuCn/bGpW+tW00SbhGcm+pnFTObT6r1RLqjiD0Vp3agH/oYgDrueiF&#10;6g4SiB3ZP6gGqwgjtmmicKiwba0yRQOrmU1/U/PYQzBFC5sTw8Wm+P9o1df9hoTVjbySwsPAI/q4&#10;S1gqi5tszxhizai131AWqA7+MTyg+hGFx3UPvjMF/HQMnDvLGdUvKfkSAxfZjl9QMwaYv3h1aGnI&#10;lOyCOJSRHC8jMYckFH+8XsyvrhdSqHOogvqcFyimzwYHkV8aGROB7fq0Ru957kizUgX2DzHlrqA+&#10;J+SiHu+tc2X8zouxkR8W80VJiOiszsEMi9Rt147EHvICladI5MhrGOHO60LWG9CfvBap+OF56WVm&#10;H4yWwhn+R/JbQSaw7m+Q3LjzJ1ezkc8j2aI+bijrygbzdhSFp03O6/f6XlAv/9vqJwAAAP//AwBQ&#10;SwMEFAAGAAgAAAAhAIv9etTdAAAACAEAAA8AAABkcnMvZG93bnJldi54bWxMj81OwzAQhO9IvIO1&#10;SFwQtRvRn6TZVBUSB460lbi68TYJxOsodprQp8eIAxxnZzTzbb6dbCsu1PvGMcJ8pkAQl840XCEc&#10;Dy+PaxA+aDa6dUwIX+RhW9ze5DozbuQ3uuxDJWIJ+0wj1CF0mZS+rMlqP3MdcfTOrrc6RNlX0vR6&#10;jOW2lYlSS2l1w3Gh1h0911R+7geLQH5YzNUutdXx9To+vCfXj7E7IN7fTbsNiEBT+AvDD35EhyIy&#10;ndzAxosWYZ0+xSTCarEEEf1ErVIQp9+DLHL5/4HiGwAA//8DAFBLAQItABQABgAIAAAAIQC2gziS&#10;/gAAAOEBAAATAAAAAAAAAAAAAAAAAAAAAABbQ29udGVudF9UeXBlc10ueG1sUEsBAi0AFAAGAAgA&#10;AAAhADj9If/WAAAAlAEAAAsAAAAAAAAAAAAAAAAALwEAAF9yZWxzLy5yZWxzUEsBAi0AFAAGAAgA&#10;AAAhAF+VdyXgAQAAtwMAAA4AAAAAAAAAAAAAAAAALgIAAGRycy9lMm9Eb2MueG1sUEsBAi0AFAAG&#10;AAgAAAAhAIv9etTdAAAACAEAAA8AAAAAAAAAAAAAAAAAOgQAAGRycy9kb3ducmV2LnhtbFBLBQYA&#10;AAAABAAEAPMAAABEBQAAAAA=&#10;"/>
                  </w:pict>
                </mc:Fallback>
              </mc:AlternateContent>
            </w:r>
            <w:r w:rsidR="005D684F">
              <w:rPr>
                <w:b/>
                <w:bCs/>
                <w:sz w:val="26"/>
                <w:szCs w:val="26"/>
              </w:rPr>
              <w:t>HỘI ĐỒNG NHÂN DÂN</w:t>
            </w:r>
            <w:r w:rsidR="005D684F">
              <w:rPr>
                <w:b/>
                <w:bCs/>
                <w:sz w:val="26"/>
                <w:szCs w:val="26"/>
              </w:rPr>
              <w:br/>
              <w:t>TỈNH ĐIỆN BIÊN</w:t>
            </w:r>
            <w:r w:rsidR="005D684F">
              <w:rPr>
                <w:b/>
                <w:bCs/>
                <w:sz w:val="26"/>
                <w:szCs w:val="26"/>
              </w:rPr>
              <w:br/>
            </w:r>
          </w:p>
        </w:tc>
        <w:tc>
          <w:tcPr>
            <w:tcW w:w="5769" w:type="dxa"/>
            <w:tcBorders>
              <w:top w:val="nil"/>
              <w:left w:val="nil"/>
              <w:bottom w:val="nil"/>
              <w:right w:val="nil"/>
              <w:tl2br w:val="nil"/>
              <w:tr2bl w:val="nil"/>
            </w:tcBorders>
            <w:shd w:val="clear" w:color="auto" w:fill="auto"/>
            <w:tcMar>
              <w:top w:w="0" w:type="dxa"/>
              <w:left w:w="108" w:type="dxa"/>
              <w:bottom w:w="0" w:type="dxa"/>
              <w:right w:w="108" w:type="dxa"/>
            </w:tcMar>
          </w:tcPr>
          <w:p w14:paraId="267B08A0" w14:textId="198EF8B0" w:rsidR="00417712" w:rsidRDefault="007478C3">
            <w:pPr>
              <w:spacing w:before="120"/>
              <w:jc w:val="center"/>
              <w:rPr>
                <w:sz w:val="26"/>
                <w:szCs w:val="26"/>
              </w:rPr>
            </w:pPr>
            <w:r>
              <w:rPr>
                <w:b/>
                <w:bCs/>
                <w:noProof/>
                <w:sz w:val="26"/>
                <w:szCs w:val="26"/>
              </w:rPr>
              <mc:AlternateContent>
                <mc:Choice Requires="wps">
                  <w:drawing>
                    <wp:anchor distT="0" distB="0" distL="114300" distR="114300" simplePos="0" relativeHeight="251675136" behindDoc="0" locked="0" layoutInCell="1" allowOverlap="1" wp14:anchorId="17D31910" wp14:editId="2B2DDD49">
                      <wp:simplePos x="0" y="0"/>
                      <wp:positionH relativeFrom="column">
                        <wp:posOffset>766445</wp:posOffset>
                      </wp:positionH>
                      <wp:positionV relativeFrom="paragraph">
                        <wp:posOffset>470535</wp:posOffset>
                      </wp:positionV>
                      <wp:extent cx="2085975" cy="0"/>
                      <wp:effectExtent l="9525" t="9525" r="9525" b="95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EACDA" id="AutoShape 10" o:spid="_x0000_s1026" type="#_x0000_t32" style="position:absolute;margin-left:60.35pt;margin-top:37.05pt;width:164.2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mi4QEAALkDAAAOAAAAZHJzL2Uyb0RvYy54bWysU8Fu2zAMvQ/YPwi6L7YzZGuNOMWQrrt0&#10;W4C2H8BIsi1MEgVJiZO/H6UlabdehmE+CKb4+Eg+UsubgzVsr0LU6DrezGrOlBMotRs6/vR49+6K&#10;s5jASTDoVMePKvKb1ds3y8m3ao4jGqkCIxIX28l3fEzJt1UVxagsxBl65cjZY7CQyAxDJQNMxG5N&#10;Na/rD9WEQfqAQsVIt7e/nHxV+PteifS976NKzHScakvlDOXc5rNaLaEdAvhRi1MZ8A9VWNCOkl6o&#10;biEB2wX9ispqETBin2YCbYV9r4UqPVA3Tf1HNw8jeFV6IXGiv8gU/x+t+LbfBKZlx99z5sDSiD7t&#10;EpbMrCn6TD62BFu7TcgdioN78PcofkTmcD2CG1RBPx49BTdZ0eq3kGxET1m201eUhAFKUMQ69MFm&#10;SpKBHcpMjpeZqENigi7n9dXi+uOCM3H2VdCeA32I6YtCy/JPx2MKoIcxrdE5mjyGpqSB/X1MuSxo&#10;zwE5q8M7bUxZAOPY1PHrxXxRAiIaLbMzw2IYtmsT2B7yCpWv9Eiel7CAOycL2ahAfnaSpSKIo7Xn&#10;md0qyZlR9EryX0Em0OZvkFS4cSdZs5J5u2O7RXnchNxXtmg/SoenXc4L+NIuqOcXt/oJAAD//wMA&#10;UEsDBBQABgAIAAAAIQBRjC5j3QAAAAkBAAAPAAAAZHJzL2Rvd25yZXYueG1sTI/BTsMwDIbvSLxD&#10;ZCQuiCWtCttK02lC4sCRbRLXrPHaQuNUTbqWPT1GHOD4259+fy42s+vEGYfQetKQLBQIpMrblmoN&#10;h/3L/QpEiIas6Tyhhi8MsCmvrwqTWz/RG553sRZcQiE3GpoY+1zKUDXoTFj4Hol3Jz84EzkOtbSD&#10;mbjcdTJV6lE60xJfaEyPzw1Wn7vRacAwPiRqu3b14fUy3b2nl4+p32t9ezNvn0BEnOMfDD/6rA4l&#10;Ox39SDaIjnOqloxqWGYJCAaybJ2COP4OZFnI/x+U3wAAAP//AwBQSwECLQAUAAYACAAAACEAtoM4&#10;kv4AAADhAQAAEwAAAAAAAAAAAAAAAAAAAAAAW0NvbnRlbnRfVHlwZXNdLnhtbFBLAQItABQABgAI&#10;AAAAIQA4/SH/1gAAAJQBAAALAAAAAAAAAAAAAAAAAC8BAABfcmVscy8ucmVsc1BLAQItABQABgAI&#10;AAAAIQBgUfmi4QEAALkDAAAOAAAAAAAAAAAAAAAAAC4CAABkcnMvZTJvRG9jLnhtbFBLAQItABQA&#10;BgAIAAAAIQBRjC5j3QAAAAkBAAAPAAAAAAAAAAAAAAAAADsEAABkcnMvZG93bnJldi54bWxQSwUG&#10;AAAAAAQABADzAAAARQUAAAAA&#10;"/>
                  </w:pict>
                </mc:Fallback>
              </mc:AlternateContent>
            </w:r>
            <w:r w:rsidR="005D684F">
              <w:rPr>
                <w:b/>
                <w:bCs/>
                <w:sz w:val="26"/>
                <w:szCs w:val="26"/>
              </w:rPr>
              <w:t>CỘNG HÒA XÃ HỘI CHỦ NGHĨA VIỆT NAM</w:t>
            </w:r>
            <w:r w:rsidR="005D684F">
              <w:rPr>
                <w:b/>
                <w:bCs/>
                <w:sz w:val="26"/>
                <w:szCs w:val="26"/>
              </w:rPr>
              <w:br/>
            </w:r>
            <w:r w:rsidR="005D684F" w:rsidRPr="001E4E80">
              <w:rPr>
                <w:b/>
                <w:bCs/>
              </w:rPr>
              <w:t>Độc lập - Tự do - Hạnh phúc</w:t>
            </w:r>
            <w:r w:rsidR="005D684F">
              <w:rPr>
                <w:b/>
                <w:bCs/>
                <w:sz w:val="26"/>
                <w:szCs w:val="26"/>
              </w:rPr>
              <w:br/>
            </w:r>
          </w:p>
        </w:tc>
      </w:tr>
      <w:tr w:rsidR="00417712" w14:paraId="69E688BB" w14:textId="77777777" w:rsidTr="00892185">
        <w:tblPrEx>
          <w:tblBorders>
            <w:top w:val="none" w:sz="0" w:space="0" w:color="auto"/>
            <w:bottom w:val="none" w:sz="0" w:space="0" w:color="auto"/>
            <w:insideH w:val="none" w:sz="0" w:space="0" w:color="auto"/>
            <w:insideV w:val="none" w:sz="0" w:space="0" w:color="auto"/>
          </w:tblBorders>
        </w:tblPrEx>
        <w:tc>
          <w:tcPr>
            <w:tcW w:w="3445" w:type="dxa"/>
            <w:tcBorders>
              <w:top w:val="nil"/>
              <w:left w:val="nil"/>
              <w:bottom w:val="nil"/>
              <w:right w:val="nil"/>
              <w:tl2br w:val="nil"/>
              <w:tr2bl w:val="nil"/>
            </w:tcBorders>
            <w:shd w:val="clear" w:color="auto" w:fill="auto"/>
            <w:tcMar>
              <w:top w:w="0" w:type="dxa"/>
              <w:left w:w="108" w:type="dxa"/>
              <w:bottom w:w="0" w:type="dxa"/>
              <w:right w:w="108" w:type="dxa"/>
            </w:tcMar>
          </w:tcPr>
          <w:p w14:paraId="7206E8AB" w14:textId="77777777" w:rsidR="00417712" w:rsidRDefault="005D684F" w:rsidP="00820701">
            <w:pPr>
              <w:jc w:val="center"/>
            </w:pPr>
            <w:r>
              <w:t>Số:           /2025/NQ-HĐND</w:t>
            </w:r>
          </w:p>
        </w:tc>
        <w:tc>
          <w:tcPr>
            <w:tcW w:w="5769" w:type="dxa"/>
            <w:tcBorders>
              <w:top w:val="nil"/>
              <w:left w:val="nil"/>
              <w:bottom w:val="nil"/>
              <w:right w:val="nil"/>
              <w:tl2br w:val="nil"/>
              <w:tr2bl w:val="nil"/>
            </w:tcBorders>
            <w:shd w:val="clear" w:color="auto" w:fill="auto"/>
            <w:tcMar>
              <w:top w:w="0" w:type="dxa"/>
              <w:left w:w="108" w:type="dxa"/>
              <w:bottom w:w="0" w:type="dxa"/>
              <w:right w:w="108" w:type="dxa"/>
            </w:tcMar>
          </w:tcPr>
          <w:p w14:paraId="0E18D66B" w14:textId="70EB7F3B" w:rsidR="00417712" w:rsidRDefault="005D684F" w:rsidP="00820701">
            <w:pPr>
              <w:jc w:val="right"/>
            </w:pPr>
            <w:r>
              <w:rPr>
                <w:i/>
                <w:iCs/>
              </w:rPr>
              <w:t xml:space="preserve">Điện Biên, ngày      tháng </w:t>
            </w:r>
            <w:r w:rsidR="009C335D">
              <w:rPr>
                <w:i/>
                <w:iCs/>
              </w:rPr>
              <w:t xml:space="preserve">  </w:t>
            </w:r>
            <w:r>
              <w:rPr>
                <w:i/>
                <w:iCs/>
              </w:rPr>
              <w:t xml:space="preserve"> năm 2025</w:t>
            </w:r>
          </w:p>
        </w:tc>
      </w:tr>
    </w:tbl>
    <w:p w14:paraId="4C18612C" w14:textId="40CF1B12" w:rsidR="00417712" w:rsidRDefault="007478C3">
      <w:pPr>
        <w:spacing w:before="120" w:after="280" w:afterAutospacing="1"/>
      </w:pPr>
      <w:r>
        <w:rPr>
          <w:noProof/>
        </w:rPr>
        <mc:AlternateContent>
          <mc:Choice Requires="wps">
            <w:drawing>
              <wp:anchor distT="0" distB="0" distL="114300" distR="114300" simplePos="0" relativeHeight="251676160" behindDoc="0" locked="0" layoutInCell="1" allowOverlap="1" wp14:anchorId="25812937" wp14:editId="529A7483">
                <wp:simplePos x="0" y="0"/>
                <wp:positionH relativeFrom="column">
                  <wp:posOffset>-461010</wp:posOffset>
                </wp:positionH>
                <wp:positionV relativeFrom="paragraph">
                  <wp:posOffset>-1223010</wp:posOffset>
                </wp:positionV>
                <wp:extent cx="2781300" cy="276225"/>
                <wp:effectExtent l="0" t="0" r="19050" b="2857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276225"/>
                        </a:xfrm>
                        <a:prstGeom prst="rect">
                          <a:avLst/>
                        </a:prstGeom>
                        <a:solidFill>
                          <a:srgbClr val="FFFFFF"/>
                        </a:solidFill>
                        <a:ln w="9525">
                          <a:solidFill>
                            <a:srgbClr val="000000"/>
                          </a:solidFill>
                          <a:miter lim="800000"/>
                          <a:headEnd/>
                          <a:tailEnd/>
                        </a:ln>
                      </wps:spPr>
                      <wps:txbx>
                        <w:txbxContent>
                          <w:p w14:paraId="4EC8F738" w14:textId="66034774" w:rsidR="001E4E80" w:rsidRPr="000A4325" w:rsidRDefault="001E4E80">
                            <w:pPr>
                              <w:rPr>
                                <w:b/>
                                <w:bCs/>
                                <w:sz w:val="24"/>
                                <w:szCs w:val="24"/>
                              </w:rPr>
                            </w:pPr>
                            <w:r w:rsidRPr="000A4325">
                              <w:rPr>
                                <w:b/>
                                <w:bCs/>
                                <w:sz w:val="24"/>
                                <w:szCs w:val="24"/>
                              </w:rPr>
                              <w:t xml:space="preserve">DTNQ </w:t>
                            </w:r>
                            <w:r w:rsidR="000A4325" w:rsidRPr="000A4325">
                              <w:rPr>
                                <w:b/>
                                <w:bCs/>
                                <w:sz w:val="24"/>
                                <w:szCs w:val="24"/>
                              </w:rPr>
                              <w:t>SAU PHIÊN HỌP THẨM TRA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12937" id="Rectangle 13" o:spid="_x0000_s1026" style="position:absolute;margin-left:-36.3pt;margin-top:-96.3pt;width:219pt;height:2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1TuJQIAAEgEAAAOAAAAZHJzL2Uyb0RvYy54bWysVNuO0zAQfUfiHyy/01y23XajpqtVlyKk&#10;BVYsfIDjOImFY5ux27R8PWMnW8pFPCDyYHk84+MzZ2ayvj32ihwEOGl0SbNZSonQ3NRStyX9/Gn3&#10;akWJ80zXTBktSnoSjt5uXr5YD7YQuemMqgUQBNGuGGxJO+9tkSSOd6Jnbmas0OhsDPTMowltUgMb&#10;EL1XSZ6m18lgoLZguHAOT+9HJ91E/KYR3H9oGic8USVFbj6uENcqrMlmzYoWmO0kn2iwf2DRM6nx&#10;0TPUPfOM7EH+BtVLDsaZxs+46RPTNJKLmANmk6W/ZPPUMStiLiiOs2eZ3P+D5e8Pj0BkXdKcEs16&#10;LNFHFI3pVgmSXQV9BusKDHuyjxAydPbB8C+OaLPtMEzcAZihE6xGVlmIT366EAyHV0k1vDM1wrO9&#10;N1GqYwN9AEQRyDFW5HSuiDh6wvEwX66yqxQLx9GXL6/zfBGfYMXzbQvOvxGmJ2FTUkDyEZ0dHpwP&#10;bFjxHBLZGyXrnVQqGtBWWwXkwLA7dvGb0N1lmNJkKOnNAt/+O0Qavz9B9NJjmyvZl3R1DmJFkO21&#10;rmMTeibVuEfKSk86BunGEvhjdZyqUZn6hIqCGdsZxw83nYFvlAzYyiV1X/cMBCXqrcaq3GTzeej9&#10;aMwXyxwNuPRUlx6mOUKV1FMybrd+nJe9Bdl2+FIWZdDmDivZyChyqPLIauKN7Rq1n0YrzMOlHaN+&#10;/AA23wEAAP//AwBQSwMEFAAGAAgAAAAhAHj9xaPgAAAADQEAAA8AAABkcnMvZG93bnJldi54bWxM&#10;j0FPg0AQhe8m/ofNmHhrF2hFQZbGaGrisaUXbwuMgLKzhF1a9Nc7nPT2Zt7Lm2+y3Wx6ccbRdZYU&#10;hOsABFJl644aBadiv3oA4bymWveWUME3Otjl11eZTmt7oQOej74RXEIu1Qpa74dUSle1aLRb2wGJ&#10;vQ87Gu15HBtZj/rC5aaXURDE0uiO+EKrB3xusfo6TkZB2UUn/XMoXgOT7Df+bS4+p/cXpW5v5qdH&#10;EB5n/xeGBZ/RIWem0k5UO9ErWN1HMUdZhMmiOLKJ77YgymW1TUKQeSb/f5H/AgAA//8DAFBLAQIt&#10;ABQABgAIAAAAIQC2gziS/gAAAOEBAAATAAAAAAAAAAAAAAAAAAAAAABbQ29udGVudF9UeXBlc10u&#10;eG1sUEsBAi0AFAAGAAgAAAAhADj9If/WAAAAlAEAAAsAAAAAAAAAAAAAAAAALwEAAF9yZWxzLy5y&#10;ZWxzUEsBAi0AFAAGAAgAAAAhABeHVO4lAgAASAQAAA4AAAAAAAAAAAAAAAAALgIAAGRycy9lMm9E&#10;b2MueG1sUEsBAi0AFAAGAAgAAAAhAHj9xaPgAAAADQEAAA8AAAAAAAAAAAAAAAAAfwQAAGRycy9k&#10;b3ducmV2LnhtbFBLBQYAAAAABAAEAPMAAACMBQAAAAA=&#10;">
                <v:textbox>
                  <w:txbxContent>
                    <w:p w14:paraId="4EC8F738" w14:textId="66034774" w:rsidR="001E4E80" w:rsidRPr="000A4325" w:rsidRDefault="001E4E80">
                      <w:pPr>
                        <w:rPr>
                          <w:b/>
                          <w:bCs/>
                          <w:sz w:val="24"/>
                          <w:szCs w:val="24"/>
                        </w:rPr>
                      </w:pPr>
                      <w:r w:rsidRPr="000A4325">
                        <w:rPr>
                          <w:b/>
                          <w:bCs/>
                          <w:sz w:val="24"/>
                          <w:szCs w:val="24"/>
                        </w:rPr>
                        <w:t xml:space="preserve">DTNQ </w:t>
                      </w:r>
                      <w:r w:rsidR="000A4325" w:rsidRPr="000A4325">
                        <w:rPr>
                          <w:b/>
                          <w:bCs/>
                          <w:sz w:val="24"/>
                          <w:szCs w:val="24"/>
                        </w:rPr>
                        <w:t>SAU PHIÊN HỌP THẨM TRA</w:t>
                      </w:r>
                    </w:p>
                  </w:txbxContent>
                </v:textbox>
              </v:rect>
            </w:pict>
          </mc:Fallback>
        </mc:AlternateContent>
      </w:r>
    </w:p>
    <w:p w14:paraId="5E54BCC2" w14:textId="77777777" w:rsidR="00417712" w:rsidRDefault="005D684F" w:rsidP="00820701">
      <w:pPr>
        <w:jc w:val="center"/>
        <w:rPr>
          <w:b/>
          <w:bCs/>
        </w:rPr>
      </w:pPr>
      <w:bookmarkStart w:id="0" w:name="loai_1"/>
      <w:r>
        <w:rPr>
          <w:b/>
          <w:bCs/>
        </w:rPr>
        <w:t>NGHỊ QUYẾT</w:t>
      </w:r>
      <w:bookmarkStart w:id="1" w:name="loai_1_name"/>
      <w:bookmarkEnd w:id="0"/>
    </w:p>
    <w:p w14:paraId="73DA4E44" w14:textId="77777777" w:rsidR="00417712" w:rsidRDefault="005D684F" w:rsidP="00820701">
      <w:pPr>
        <w:jc w:val="center"/>
        <w:rPr>
          <w:b/>
          <w:bCs/>
        </w:rPr>
      </w:pPr>
      <w:r>
        <w:rPr>
          <w:b/>
          <w:bCs/>
        </w:rPr>
        <w:t xml:space="preserve">Quy định nội dung chi và mức chi hoạt động khuyến công </w:t>
      </w:r>
    </w:p>
    <w:p w14:paraId="18F98735" w14:textId="77777777" w:rsidR="00417712" w:rsidRDefault="005D684F" w:rsidP="00820701">
      <w:pPr>
        <w:jc w:val="center"/>
        <w:rPr>
          <w:b/>
          <w:bCs/>
        </w:rPr>
      </w:pPr>
      <w:r>
        <w:rPr>
          <w:b/>
          <w:bCs/>
        </w:rPr>
        <w:t>trên địa bàn tỉnh Điện Biên.</w:t>
      </w:r>
    </w:p>
    <w:bookmarkEnd w:id="1"/>
    <w:p w14:paraId="37C4C383" w14:textId="04331B4D" w:rsidR="00417712" w:rsidRDefault="007478C3" w:rsidP="00820701">
      <w:pPr>
        <w:jc w:val="center"/>
      </w:pPr>
      <w:r>
        <w:rPr>
          <w:noProof/>
        </w:rPr>
        <mc:AlternateContent>
          <mc:Choice Requires="wps">
            <w:drawing>
              <wp:anchor distT="0" distB="0" distL="114300" distR="114300" simplePos="0" relativeHeight="251673088" behindDoc="0" locked="0" layoutInCell="1" allowOverlap="1" wp14:anchorId="2547AD64" wp14:editId="42FF5F95">
                <wp:simplePos x="0" y="0"/>
                <wp:positionH relativeFrom="column">
                  <wp:posOffset>1815465</wp:posOffset>
                </wp:positionH>
                <wp:positionV relativeFrom="paragraph">
                  <wp:posOffset>53340</wp:posOffset>
                </wp:positionV>
                <wp:extent cx="2057400" cy="0"/>
                <wp:effectExtent l="9525" t="5080" r="9525" b="1397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8344F" id="AutoShape 7" o:spid="_x0000_s1026" type="#_x0000_t32" style="position:absolute;margin-left:142.95pt;margin-top:4.2pt;width:162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9L3wEAALgDAAAOAAAAZHJzL2Uyb0RvYy54bWysU8Fu2zAMvQ/YPwi6L3aCZd2MOMWQrrt0&#10;W4C2H8BIsi1MEgVJiZ2/H6UmabddimE+CJb5+Ei+R6+uJ2vYQYWo0bV8Pqs5U06g1K5v+ePD7buP&#10;nMUEToJBp1p+VJFfr9++WY2+UQsc0EgVGJG42Iy+5UNKvqmqKAZlIc7QK0fBDoOFRNfQVzLASOzW&#10;VIu6/lCNGKQPKFSM9PXmKcjXhb/rlEg/ui6qxEzLqbdUzlDOXT6r9QqaPoAftDi1Af/QhQXtqOiF&#10;6gYSsH3Qf1FZLQJG7NJMoK2w67RQZQaaZl7/Mc39AF6VWUic6C8yxf9HK74ftoFpSd5x5sCSRZ/3&#10;CUtldpXlGX1sCLVx25AHFJO793cofkbmcDOA61UBPxw95c5zRvVbSr5ET0V24zeUhAHiL1pNXbCZ&#10;klRgU7HkeLFETYkJ+riol1fva3JOnGMVNOdEH2L6qtCy/NLymALofkgbdI6MxzAvZeBwF1NuC5pz&#10;Qq7q8FYbU/w3jo0t/7RcLEtCRKNlDmZYDP1uYwI7QN6g8pQZKfISFnDvZCEbFMgvTrJUBHG09Tyz&#10;WyU5M4p+kvxWkAm0eQ2SGjfuJGtW8smTHcrjNuS5ssK0HmXC0yrn/Xt5L6jnH279CwAA//8DAFBL&#10;AwQUAAYACAAAACEAjF/NuNoAAAAHAQAADwAAAGRycy9kb3ducmV2LnhtbEyOwU7DMBBE70j8g7VI&#10;XBC1G9EqSeNUFRIHjrSVuLrxkqTE6yh2mtCvZ+ECx6cZzbxiO7tOXHAIrScNy4UCgVR521Kt4Xh4&#10;eUxBhGjIms4TavjCANvy9qYwufUTveFlH2vBIxRyo6GJsc+lDFWDzoSF75E4+/CDM5FxqKUdzMTj&#10;rpOJUmvpTEv80JgenxusPvej04BhXC3VLnP18fU6Pbwn1/PUH7S+v5t3GxAR5/hXhh99VoeSnU5+&#10;JBtEpyFJVxlXNaRPIDhfq4z59MuyLOR///IbAAD//wMAUEsBAi0AFAAGAAgAAAAhALaDOJL+AAAA&#10;4QEAABMAAAAAAAAAAAAAAAAAAAAAAFtDb250ZW50X1R5cGVzXS54bWxQSwECLQAUAAYACAAAACEA&#10;OP0h/9YAAACUAQAACwAAAAAAAAAAAAAAAAAvAQAAX3JlbHMvLnJlbHNQSwECLQAUAAYACAAAACEA&#10;zNP/S98BAAC4AwAADgAAAAAAAAAAAAAAAAAuAgAAZHJzL2Uyb0RvYy54bWxQSwECLQAUAAYACAAA&#10;ACEAjF/NuNoAAAAHAQAADwAAAAAAAAAAAAAAAAA5BAAAZHJzL2Rvd25yZXYueG1sUEsFBgAAAAAE&#10;AAQA8wAAAEAFAAAAAA==&#10;"/>
            </w:pict>
          </mc:Fallback>
        </mc:AlternateContent>
      </w:r>
    </w:p>
    <w:p w14:paraId="128D4877" w14:textId="77777777" w:rsidR="00417712" w:rsidRPr="004709B6" w:rsidRDefault="005D684F">
      <w:pPr>
        <w:spacing w:before="120" w:after="120"/>
        <w:ind w:left="720"/>
        <w:jc w:val="both"/>
        <w:rPr>
          <w:i/>
          <w:color w:val="000000" w:themeColor="text1"/>
          <w:lang w:val="pt-BR"/>
        </w:rPr>
      </w:pPr>
      <w:r w:rsidRPr="004709B6">
        <w:rPr>
          <w:i/>
          <w:iCs/>
          <w:color w:val="000000" w:themeColor="text1"/>
        </w:rPr>
        <w:t xml:space="preserve">Căn cứ </w:t>
      </w:r>
      <w:r w:rsidRPr="004709B6">
        <w:rPr>
          <w:i/>
          <w:color w:val="000000" w:themeColor="text1"/>
          <w:lang w:val="pt-BR"/>
        </w:rPr>
        <w:t xml:space="preserve">Luật Tổ chức chính quyền địa phương ngày 16 tháng 6 năm 2025; </w:t>
      </w:r>
    </w:p>
    <w:p w14:paraId="5121C8D5" w14:textId="77777777" w:rsidR="000E01F7" w:rsidRPr="004709B6" w:rsidRDefault="005D684F">
      <w:pPr>
        <w:spacing w:before="120" w:after="120"/>
        <w:ind w:firstLine="720"/>
        <w:jc w:val="both"/>
        <w:rPr>
          <w:i/>
          <w:color w:val="000000" w:themeColor="text1"/>
          <w:spacing w:val="-10"/>
        </w:rPr>
      </w:pPr>
      <w:r w:rsidRPr="004709B6">
        <w:rPr>
          <w:i/>
          <w:color w:val="000000" w:themeColor="text1"/>
          <w:spacing w:val="-10"/>
        </w:rPr>
        <w:t xml:space="preserve">Căn cứ Luật Ban hành văn bản quy phạm pháp luật ngày 19 tháng 2 năm 2025; </w:t>
      </w:r>
    </w:p>
    <w:p w14:paraId="182277C9" w14:textId="7A673F5D" w:rsidR="00417712" w:rsidRPr="004709B6" w:rsidRDefault="000E01F7">
      <w:pPr>
        <w:spacing w:before="120" w:after="120"/>
        <w:ind w:firstLine="720"/>
        <w:jc w:val="both"/>
        <w:rPr>
          <w:i/>
          <w:color w:val="000000" w:themeColor="text1"/>
          <w:lang w:val="pt-BR"/>
        </w:rPr>
      </w:pPr>
      <w:r w:rsidRPr="004709B6">
        <w:rPr>
          <w:i/>
          <w:color w:val="000000" w:themeColor="text1"/>
        </w:rPr>
        <w:t xml:space="preserve">Căn cứ </w:t>
      </w:r>
      <w:r w:rsidR="005D684F" w:rsidRPr="004709B6">
        <w:rPr>
          <w:i/>
          <w:color w:val="000000" w:themeColor="text1"/>
          <w:lang w:val="pt-BR"/>
        </w:rPr>
        <w:t xml:space="preserve">Luật </w:t>
      </w:r>
      <w:r w:rsidR="004709B6">
        <w:rPr>
          <w:i/>
          <w:color w:val="000000" w:themeColor="text1"/>
          <w:lang w:val="pt-BR"/>
        </w:rPr>
        <w:t>S</w:t>
      </w:r>
      <w:r w:rsidR="005D684F" w:rsidRPr="004709B6">
        <w:rPr>
          <w:i/>
          <w:color w:val="000000" w:themeColor="text1"/>
          <w:lang w:val="pt-BR"/>
        </w:rPr>
        <w:t xml:space="preserve">ửa đổi, bổ sung một số điều của Luật ban hành văn bản quy phạm pháp luật  ngày 25 tháng  năm </w:t>
      </w:r>
      <w:r w:rsidRPr="004709B6">
        <w:rPr>
          <w:i/>
          <w:color w:val="000000" w:themeColor="text1"/>
          <w:lang w:val="pt-BR"/>
        </w:rPr>
        <w:t>2025;</w:t>
      </w:r>
    </w:p>
    <w:p w14:paraId="7D5A1CC7" w14:textId="77777777" w:rsidR="00417712" w:rsidRPr="004709B6" w:rsidRDefault="005D684F">
      <w:pPr>
        <w:spacing w:before="120" w:after="120"/>
        <w:ind w:firstLine="720"/>
        <w:jc w:val="both"/>
        <w:rPr>
          <w:color w:val="000000" w:themeColor="text1"/>
        </w:rPr>
      </w:pPr>
      <w:r w:rsidRPr="004709B6">
        <w:rPr>
          <w:i/>
          <w:iCs/>
          <w:color w:val="000000" w:themeColor="text1"/>
        </w:rPr>
        <w:t>Căn cứ Luật Ngân sách nhà nước ngày 25 tháng 6 năm 2015;</w:t>
      </w:r>
    </w:p>
    <w:p w14:paraId="050EF86E" w14:textId="77777777" w:rsidR="00417712" w:rsidRDefault="005D684F">
      <w:pPr>
        <w:spacing w:before="120" w:after="120"/>
        <w:ind w:firstLine="720"/>
        <w:jc w:val="both"/>
        <w:rPr>
          <w:i/>
        </w:rPr>
      </w:pPr>
      <w:r>
        <w:rPr>
          <w:i/>
        </w:rPr>
        <w:t>Căn cứ Nghị định số 78/2025/NĐ-CP ngày 01 tháng 4 năm 2025 của Chính phủ quy định chi tiết một số điều và biện pháp để tổ chức, hướng dẫn thi hành Luật ban hành văn bản quy phạm pháp luật;</w:t>
      </w:r>
    </w:p>
    <w:p w14:paraId="2A5D4A6F" w14:textId="77777777" w:rsidR="00417712" w:rsidRDefault="005D684F">
      <w:pPr>
        <w:spacing w:before="120" w:after="120"/>
        <w:ind w:firstLine="720"/>
        <w:jc w:val="both"/>
      </w:pPr>
      <w:r>
        <w:rPr>
          <w:i/>
          <w:iCs/>
        </w:rPr>
        <w:t xml:space="preserve">Căn cứ Nghị định số 45/2012/NĐ-CP ngày 21 tháng 5 năm 2012 của Chính phủ về khuyến công;  </w:t>
      </w:r>
    </w:p>
    <w:p w14:paraId="57FD602F" w14:textId="77777777" w:rsidR="00A87DC8" w:rsidRDefault="005D684F">
      <w:pPr>
        <w:spacing w:before="120" w:after="120"/>
        <w:ind w:firstLine="720"/>
        <w:jc w:val="both"/>
        <w:rPr>
          <w:i/>
          <w:iCs/>
        </w:rPr>
      </w:pPr>
      <w:r>
        <w:rPr>
          <w:i/>
          <w:iCs/>
        </w:rPr>
        <w:t>C</w:t>
      </w:r>
      <w:r w:rsidR="005E0761">
        <w:rPr>
          <w:i/>
          <w:iCs/>
        </w:rPr>
        <w:t xml:space="preserve">ăn cứ Thông tư số 46/2012/TT-BCT </w:t>
      </w:r>
      <w:r>
        <w:rPr>
          <w:i/>
          <w:iCs/>
        </w:rPr>
        <w:t xml:space="preserve"> ngày 28 tháng 12 năm 2012 của Bộ </w:t>
      </w:r>
      <w:r w:rsidR="005E0761">
        <w:rPr>
          <w:i/>
          <w:iCs/>
        </w:rPr>
        <w:t>trưởng Bộ Công t</w:t>
      </w:r>
      <w:r>
        <w:rPr>
          <w:i/>
          <w:iCs/>
        </w:rPr>
        <w:t xml:space="preserve">hương quy định chi tiết một số nội dung của Nghị định số 45/2012/NĐ-CP ngày 21 tháng 5 năm 2012 của Chính phủ về khuyến công; </w:t>
      </w:r>
    </w:p>
    <w:p w14:paraId="2E5FDF70" w14:textId="3210D9BA" w:rsidR="00417712" w:rsidRDefault="00A87DC8">
      <w:pPr>
        <w:spacing w:before="120" w:after="120"/>
        <w:ind w:firstLine="720"/>
        <w:jc w:val="both"/>
      </w:pPr>
      <w:r>
        <w:rPr>
          <w:i/>
          <w:iCs/>
        </w:rPr>
        <w:t xml:space="preserve">Căn cứ </w:t>
      </w:r>
      <w:r w:rsidR="005D684F">
        <w:rPr>
          <w:i/>
          <w:iCs/>
        </w:rPr>
        <w:t xml:space="preserve">Thông tư số 20/2017/TT-BCT ngày 29 tháng 9 năm 2017 của Bộ trưởng Bộ Công </w:t>
      </w:r>
      <w:r w:rsidR="00EF6B99">
        <w:rPr>
          <w:i/>
          <w:iCs/>
        </w:rPr>
        <w:t>t</w:t>
      </w:r>
      <w:r w:rsidR="005D684F">
        <w:rPr>
          <w:i/>
          <w:iCs/>
        </w:rPr>
        <w:t>hương sửa đổi, bổ sung một số điều của Thông tư số 46/2012/TT-BCT ngày 28</w:t>
      </w:r>
      <w:r w:rsidR="005E0761">
        <w:rPr>
          <w:i/>
          <w:iCs/>
        </w:rPr>
        <w:t xml:space="preserve"> tháng 12 năm 2012 của</w:t>
      </w:r>
      <w:r w:rsidR="005D684F">
        <w:rPr>
          <w:i/>
          <w:iCs/>
        </w:rPr>
        <w:t xml:space="preserve"> Bộ Công Thương quy định chi tiết một số nội dung của Nghị định số 45/2012/NĐ-CP ngày 21 tháng 5 năm 2012 của Chính phủ về khuyến công;</w:t>
      </w:r>
    </w:p>
    <w:p w14:paraId="2F0BA8E6" w14:textId="77777777" w:rsidR="00657D49" w:rsidRDefault="005D684F">
      <w:pPr>
        <w:spacing w:before="120" w:after="120"/>
        <w:ind w:firstLine="720"/>
        <w:jc w:val="both"/>
        <w:rPr>
          <w:i/>
          <w:iCs/>
        </w:rPr>
      </w:pPr>
      <w:r>
        <w:rPr>
          <w:i/>
          <w:iCs/>
        </w:rPr>
        <w:t xml:space="preserve">Căn cứ Thông tư số 28/2018/TT-BTC ngày 28 tháng 3 năm 2018 của Bộ trưởng Bộ Tài chính hướng dẫn lập, quản lý, sử dụng kinh phí khuyến công; </w:t>
      </w:r>
    </w:p>
    <w:p w14:paraId="6D5B57E5" w14:textId="77777777" w:rsidR="00417712" w:rsidRDefault="00657D49">
      <w:pPr>
        <w:spacing w:before="120" w:after="120"/>
        <w:ind w:firstLine="720"/>
        <w:jc w:val="both"/>
      </w:pPr>
      <w:r>
        <w:rPr>
          <w:i/>
          <w:iCs/>
        </w:rPr>
        <w:t xml:space="preserve">Căn cứ </w:t>
      </w:r>
      <w:r w:rsidR="005D684F">
        <w:rPr>
          <w:i/>
          <w:iCs/>
        </w:rPr>
        <w:t>Thông tư số 64/2024/TT-BTC ngày 28 tháng 8 năm 2024 của Bộ trưởng Bộ Tài chính sửa đổi, bổ sung một số điều của Thông tư s</w:t>
      </w:r>
      <w:r w:rsidR="00B438E6">
        <w:rPr>
          <w:i/>
          <w:iCs/>
        </w:rPr>
        <w:t>ố 28/2018/TT-BTC ngày 28 tháng 3</w:t>
      </w:r>
      <w:r w:rsidR="005D684F">
        <w:rPr>
          <w:i/>
          <w:iCs/>
        </w:rPr>
        <w:t xml:space="preserve"> năm 2018 của Bộ trưởng Bộ Tài chính hướng dẫn lập, quản lý, sử dụng kinh phí khuyến công;</w:t>
      </w:r>
    </w:p>
    <w:p w14:paraId="6447CBF3" w14:textId="77777777" w:rsidR="00417712" w:rsidRDefault="004C3574">
      <w:pPr>
        <w:spacing w:before="120" w:after="120"/>
        <w:ind w:firstLine="720"/>
        <w:jc w:val="both"/>
        <w:rPr>
          <w:i/>
          <w:iCs/>
        </w:rPr>
      </w:pPr>
      <w:r>
        <w:rPr>
          <w:i/>
          <w:iCs/>
        </w:rPr>
        <w:t xml:space="preserve"> Xét Tờ trình số 3109</w:t>
      </w:r>
      <w:r w:rsidR="005D684F">
        <w:rPr>
          <w:i/>
          <w:iCs/>
        </w:rPr>
        <w:t>/TTr-UBND</w:t>
      </w:r>
      <w:r>
        <w:rPr>
          <w:i/>
          <w:iCs/>
        </w:rPr>
        <w:t xml:space="preserve"> ngày 29 tháng 6</w:t>
      </w:r>
      <w:r w:rsidR="00DA0262">
        <w:rPr>
          <w:i/>
          <w:iCs/>
        </w:rPr>
        <w:t xml:space="preserve"> năm 2025 của Ủy ban nhân </w:t>
      </w:r>
      <w:r w:rsidR="005D684F">
        <w:rPr>
          <w:i/>
          <w:iCs/>
        </w:rPr>
        <w:t xml:space="preserve">dân tỉnh </w:t>
      </w:r>
      <w:r w:rsidR="00DA0262">
        <w:rPr>
          <w:i/>
          <w:iCs/>
        </w:rPr>
        <w:t>đề nghị Hội đồng nhân dân tỉnh ban hành Nghị quyết q</w:t>
      </w:r>
      <w:r w:rsidR="005D684F">
        <w:rPr>
          <w:i/>
          <w:iCs/>
        </w:rPr>
        <w:t>uy định nội dung chi và mức chi hoạt động khuyến công trên địa bàn tỉnh Điện Biên; Báo cáo thẩm tra của Ban Kinh tế - Ngân sách, Hội đồng nhân dân tỉnh</w:t>
      </w:r>
      <w:r w:rsidR="00DA0262">
        <w:rPr>
          <w:i/>
          <w:iCs/>
        </w:rPr>
        <w:t xml:space="preserve"> số 51/BC-KTNS ngày 11 tháng 7 năm 2025</w:t>
      </w:r>
      <w:r w:rsidR="005D684F">
        <w:rPr>
          <w:i/>
          <w:iCs/>
        </w:rPr>
        <w:t>; ý kiến thảo luận của đại biểu Hội đồng nhân dân tại kỳ họp.</w:t>
      </w:r>
    </w:p>
    <w:p w14:paraId="31680883" w14:textId="77777777" w:rsidR="00417712" w:rsidRDefault="005D684F">
      <w:pPr>
        <w:spacing w:before="120" w:after="120"/>
        <w:ind w:firstLine="720"/>
        <w:jc w:val="both"/>
        <w:rPr>
          <w:i/>
        </w:rPr>
      </w:pPr>
      <w:r>
        <w:rPr>
          <w:i/>
        </w:rPr>
        <w:lastRenderedPageBreak/>
        <w:t>Hội đồng nhâ</w:t>
      </w:r>
      <w:r w:rsidR="00DA0262">
        <w:rPr>
          <w:i/>
        </w:rPr>
        <w:t>n dân tỉnh ban hành Nghị quyết q</w:t>
      </w:r>
      <w:r>
        <w:rPr>
          <w:i/>
        </w:rPr>
        <w:t>uy định nội dung chi và mức chi hoạt động khuyến công trên địa bàn tỉnh Điện Biên.</w:t>
      </w:r>
    </w:p>
    <w:p w14:paraId="7F1B5E41" w14:textId="77777777" w:rsidR="00417712" w:rsidRDefault="005D684F">
      <w:pPr>
        <w:spacing w:before="120" w:after="120"/>
        <w:ind w:firstLine="720"/>
      </w:pPr>
      <w:bookmarkStart w:id="2" w:name="dieu_1_1"/>
      <w:bookmarkStart w:id="3" w:name="dieu_2"/>
      <w:r>
        <w:rPr>
          <w:b/>
          <w:bCs/>
        </w:rPr>
        <w:t>Điều 1. Phạm vi điều chỉnh</w:t>
      </w:r>
      <w:bookmarkEnd w:id="2"/>
    </w:p>
    <w:p w14:paraId="57FBED8E" w14:textId="77777777" w:rsidR="00417712" w:rsidRDefault="005D684F">
      <w:pPr>
        <w:spacing w:before="120" w:after="120"/>
        <w:ind w:firstLine="720"/>
        <w:jc w:val="both"/>
      </w:pPr>
      <w:r>
        <w:t xml:space="preserve"> 1. Nghị quyết này quy định nội dung chi, mức chi hoạt động khuyến công địa phương trên địa bàn tỉnh Điện Biên.</w:t>
      </w:r>
    </w:p>
    <w:p w14:paraId="76D549DB" w14:textId="77777777" w:rsidR="00417712" w:rsidRDefault="005D684F">
      <w:pPr>
        <w:spacing w:before="120" w:after="120"/>
        <w:ind w:firstLine="720"/>
        <w:jc w:val="both"/>
      </w:pPr>
      <w:r>
        <w:t>2. Các nội dung chi và mức chi khác không quy định tại Nghị quyết này thì thực hiện theo quy định của pháp luật hiện hành.</w:t>
      </w:r>
    </w:p>
    <w:p w14:paraId="6F7F5EA0" w14:textId="77777777" w:rsidR="00417712" w:rsidRDefault="005D684F">
      <w:pPr>
        <w:spacing w:before="120" w:after="120"/>
        <w:ind w:firstLine="720"/>
      </w:pPr>
      <w:bookmarkStart w:id="4" w:name="dieu_2_1"/>
      <w:r>
        <w:rPr>
          <w:b/>
          <w:bCs/>
        </w:rPr>
        <w:t>Điều 2. Đối tượng áp dụng</w:t>
      </w:r>
      <w:bookmarkEnd w:id="4"/>
    </w:p>
    <w:p w14:paraId="045E1AF0" w14:textId="1CCD2199" w:rsidR="00417712" w:rsidRDefault="005D684F">
      <w:pPr>
        <w:spacing w:before="120" w:after="120"/>
        <w:ind w:firstLine="720"/>
        <w:jc w:val="both"/>
        <w:rPr>
          <w:iCs/>
        </w:rPr>
      </w:pPr>
      <w:bookmarkStart w:id="5" w:name="dieu_3"/>
      <w:r>
        <w:rPr>
          <w:iCs/>
        </w:rPr>
        <w:t xml:space="preserve">1. Tổ chức, cá nhân trực tiếp đầu tư, sản xuất công nghiệp - tiểu thủ công nghiệp trên địa bàn tỉnh Điện Biên bao gồm: </w:t>
      </w:r>
      <w:r w:rsidR="001E4E80">
        <w:rPr>
          <w:iCs/>
        </w:rPr>
        <w:t>d</w:t>
      </w:r>
      <w:r>
        <w:rPr>
          <w:iCs/>
        </w:rPr>
        <w:t>oanh nghiệp nhỏ và vừa, hợp tác xã, tổ hợp tác, hộ kinh doanh thành lập và hoạt động theo quy định của pháp luật (sau đây gọi chung là cơ sở công nghiệp nông thôn).</w:t>
      </w:r>
    </w:p>
    <w:p w14:paraId="293C1193" w14:textId="77777777" w:rsidR="00417712" w:rsidRPr="004D58CB" w:rsidRDefault="005D684F">
      <w:pPr>
        <w:spacing w:before="120" w:after="120"/>
        <w:ind w:firstLine="720"/>
        <w:jc w:val="both"/>
        <w:rPr>
          <w:iCs/>
          <w:color w:val="000000" w:themeColor="text1"/>
        </w:rPr>
      </w:pPr>
      <w:r w:rsidRPr="004D58CB">
        <w:rPr>
          <w:iCs/>
          <w:color w:val="000000" w:themeColor="text1"/>
        </w:rPr>
        <w:t>2. Các cơ sở sản xuất công nghiệp áp dụng sản xuất sạch hơn.</w:t>
      </w:r>
    </w:p>
    <w:p w14:paraId="007B0A93" w14:textId="77777777" w:rsidR="00417712" w:rsidRDefault="005D684F">
      <w:pPr>
        <w:spacing w:before="120" w:after="120"/>
        <w:ind w:firstLine="720"/>
        <w:jc w:val="both"/>
        <w:rPr>
          <w:iCs/>
        </w:rPr>
      </w:pPr>
      <w:r>
        <w:rPr>
          <w:iCs/>
        </w:rPr>
        <w:t>3. Tổ chức, cá nhân trong nước và nước ngoài tham gia công tác quản lý, thực hiện hoạt động dịch vụ khuyến công.</w:t>
      </w:r>
    </w:p>
    <w:p w14:paraId="0B515889" w14:textId="77777777" w:rsidR="00417712" w:rsidRDefault="005D684F">
      <w:pPr>
        <w:spacing w:before="120" w:after="120"/>
        <w:ind w:firstLine="720"/>
        <w:jc w:val="both"/>
      </w:pPr>
      <w:bookmarkStart w:id="6" w:name="dieu_4"/>
      <w:bookmarkEnd w:id="5"/>
      <w:r>
        <w:rPr>
          <w:b/>
          <w:bCs/>
        </w:rPr>
        <w:t xml:space="preserve">Điều 3. Nội dung chi và mức chi </w:t>
      </w:r>
      <w:bookmarkEnd w:id="6"/>
    </w:p>
    <w:p w14:paraId="4ABE3CE9" w14:textId="77777777" w:rsidR="00417712" w:rsidRDefault="005D684F">
      <w:pPr>
        <w:spacing w:before="120" w:after="120"/>
        <w:ind w:firstLine="720"/>
        <w:jc w:val="both"/>
        <w:rPr>
          <w:lang w:val="nl-NL"/>
        </w:rPr>
      </w:pPr>
      <w:r>
        <w:rPr>
          <w:lang w:val="nl-NL"/>
        </w:rPr>
        <w:t>1. Chi hỗ trợ thành lập doanh nghiệp sản xuất công nghiệp nông thôn tại các địa bàn có điều kiện kinh tế - xã hội khó khăn và đặc biệt khó khăn theo qu</w:t>
      </w:r>
      <w:r w:rsidR="00130C69">
        <w:rPr>
          <w:lang w:val="nl-NL"/>
        </w:rPr>
        <w:t>y định của pháp luật, bao gồm: h</w:t>
      </w:r>
      <w:r>
        <w:rPr>
          <w:lang w:val="nl-NL"/>
        </w:rPr>
        <w:t>oàn thiện kế hoạch kinh doanh; dự án thành lập doanh nghiệp và chi phí liên quan đến đăng ký thành lập doanh nghiệp. Mức hỗ trợ không quá 10 triệu đồng/doanh nghiệp.</w:t>
      </w:r>
    </w:p>
    <w:p w14:paraId="7F33A460" w14:textId="77777777" w:rsidR="00417712" w:rsidRDefault="005D684F">
      <w:pPr>
        <w:spacing w:before="120" w:after="120"/>
        <w:ind w:firstLine="720"/>
        <w:rPr>
          <w:lang w:val="nl-NL"/>
        </w:rPr>
      </w:pPr>
      <w:r>
        <w:rPr>
          <w:lang w:val="nl-NL"/>
        </w:rPr>
        <w:t>2. Chi hỗ trợ xây dựng mô hình trình diễn kỹ thuật</w:t>
      </w:r>
    </w:p>
    <w:p w14:paraId="7B35E46B" w14:textId="77777777" w:rsidR="00417712" w:rsidRDefault="005D684F">
      <w:pPr>
        <w:spacing w:before="120" w:after="120"/>
        <w:ind w:firstLine="720"/>
        <w:jc w:val="both"/>
        <w:rPr>
          <w:lang w:val="nl-NL"/>
        </w:rPr>
      </w:pPr>
      <w:r>
        <w:rPr>
          <w:lang w:val="nl-NL"/>
        </w:rPr>
        <w:t xml:space="preserve">a) Mô hình trình diễn để phổ biến công nghệ mới, sản xuất sản </w:t>
      </w:r>
      <w:r w:rsidR="00130C69">
        <w:rPr>
          <w:lang w:val="nl-NL"/>
        </w:rPr>
        <w:t>phẩm mới, bao gồm các chi phí: x</w:t>
      </w:r>
      <w:r>
        <w:rPr>
          <w:lang w:val="nl-NL"/>
        </w:rPr>
        <w:t>ây dựng, mua máy móc thiết bị; hoàn chỉnh tài liệu về quy trình công nghệ, quy trình sản xuất, phục vụ cho việc trình diễn kỹ thuật. Mức hỗ trợ tối đa 30% chi phí, nhưng không quá 500 triệu đồng/mô hình.</w:t>
      </w:r>
    </w:p>
    <w:p w14:paraId="5D88CC4A" w14:textId="77777777" w:rsidR="00417712" w:rsidRDefault="005D684F">
      <w:pPr>
        <w:spacing w:before="120" w:after="120"/>
        <w:ind w:firstLine="720"/>
        <w:jc w:val="both"/>
        <w:rPr>
          <w:lang w:val="nl-NL"/>
        </w:rPr>
      </w:pPr>
      <w:r>
        <w:rPr>
          <w:lang w:val="nl-NL"/>
        </w:rPr>
        <w:t>Được hỗ trợ xây dựng tối đa 2 mô hình cho cùng một nội dung phổ biến công nghệ mới hoặc sản phẩm mới trên địa bàn 01 xã .</w:t>
      </w:r>
    </w:p>
    <w:p w14:paraId="6412109E" w14:textId="77777777" w:rsidR="00417712" w:rsidRDefault="005D684F">
      <w:pPr>
        <w:spacing w:before="120" w:after="120"/>
        <w:ind w:firstLine="720"/>
        <w:jc w:val="both"/>
        <w:rPr>
          <w:lang w:val="nl-NL"/>
        </w:rPr>
      </w:pPr>
      <w:r>
        <w:rPr>
          <w:lang w:val="nl-NL"/>
        </w:rPr>
        <w:t>b) Mô hình của cơ sở công nghiệp nông thôn đang hoạt động có hiệu quả cần phổ biến tuyên truyền, nhân rộng để các tổ chức, cá nhân khác</w:t>
      </w:r>
      <w:r w:rsidR="00130C69">
        <w:rPr>
          <w:lang w:val="nl-NL"/>
        </w:rPr>
        <w:t xml:space="preserve"> học tập, bao gồm các chi phí: h</w:t>
      </w:r>
      <w:r>
        <w:rPr>
          <w:lang w:val="nl-NL"/>
        </w:rPr>
        <w:t>oàn chỉnh tà</w:t>
      </w:r>
      <w:r w:rsidR="00130C69">
        <w:rPr>
          <w:lang w:val="nl-NL"/>
        </w:rPr>
        <w:t>i liệu về quy trình công nghệ; h</w:t>
      </w:r>
      <w:r>
        <w:rPr>
          <w:lang w:val="nl-NL"/>
        </w:rPr>
        <w:t>oàn thiện quy trình sản xuất, phục vụ cho việc trình diễn kỹ thuật. Mức hỗ trợ không quá 100 triệu đồng/mô hình.</w:t>
      </w:r>
    </w:p>
    <w:p w14:paraId="24146028" w14:textId="77777777" w:rsidR="00417712" w:rsidRDefault="005D684F">
      <w:pPr>
        <w:spacing w:before="120" w:after="120"/>
        <w:ind w:firstLine="720"/>
        <w:jc w:val="both"/>
        <w:rPr>
          <w:lang w:val="nl-NL"/>
        </w:rPr>
      </w:pPr>
      <w:r>
        <w:rPr>
          <w:lang w:val="nl-NL"/>
        </w:rPr>
        <w:t>3. Chi hỗ trợ xây dựng các mô hình thí điểm về áp dụng sản xuất sạch hơn trong công nghiệp cho các cơ sở sản xuất côn</w:t>
      </w:r>
      <w:r w:rsidR="00130C69">
        <w:rPr>
          <w:lang w:val="nl-NL"/>
        </w:rPr>
        <w:t>g nghiệp, bao gồm các chi phí: t</w:t>
      </w:r>
      <w:r>
        <w:rPr>
          <w:lang w:val="nl-NL"/>
        </w:rPr>
        <w:t>ha</w:t>
      </w:r>
      <w:r w:rsidR="00130C69">
        <w:rPr>
          <w:lang w:val="nl-NL"/>
        </w:rPr>
        <w:t>y thế nguyên, nhiên, vật liệu; đ</w:t>
      </w:r>
      <w:r>
        <w:rPr>
          <w:lang w:val="nl-NL"/>
        </w:rPr>
        <w:t>ổi mới máy móc t</w:t>
      </w:r>
      <w:r w:rsidR="00130C69">
        <w:rPr>
          <w:lang w:val="nl-NL"/>
        </w:rPr>
        <w:t>hiết bị, dây chuyền công nghệ; đ</w:t>
      </w:r>
      <w:r>
        <w:rPr>
          <w:lang w:val="nl-NL"/>
        </w:rPr>
        <w:t xml:space="preserve">ào </w:t>
      </w:r>
      <w:r w:rsidR="00130C69">
        <w:rPr>
          <w:lang w:val="nl-NL"/>
        </w:rPr>
        <w:t>tạo nâng cao năng lực quản lý; đ</w:t>
      </w:r>
      <w:r>
        <w:rPr>
          <w:lang w:val="nl-NL"/>
        </w:rPr>
        <w:t xml:space="preserve">ào tạo nâng cao trình độ tay nghề </w:t>
      </w:r>
      <w:r w:rsidR="00130C69">
        <w:rPr>
          <w:lang w:val="nl-NL"/>
        </w:rPr>
        <w:t>công nhân; tiêu thụ sản phẩm; h</w:t>
      </w:r>
      <w:r>
        <w:rPr>
          <w:lang w:val="nl-NL"/>
        </w:rPr>
        <w:t xml:space="preserve">oàn chỉnh tài liệu về quy trình công nghệ, quy trình sản xuất phục </w:t>
      </w:r>
      <w:r>
        <w:rPr>
          <w:lang w:val="nl-NL"/>
        </w:rPr>
        <w:lastRenderedPageBreak/>
        <w:t>vụ cho việc trình diễn kỹ thuật. Mức hỗ trợ tối đa 30% chi phí, nhưng không quá 300 triệu đồng/mô hình.</w:t>
      </w:r>
    </w:p>
    <w:p w14:paraId="3CB9A171" w14:textId="77777777" w:rsidR="00417712" w:rsidRDefault="005D684F">
      <w:pPr>
        <w:spacing w:before="120" w:after="120"/>
        <w:ind w:firstLine="720"/>
        <w:jc w:val="both"/>
        <w:rPr>
          <w:lang w:val="nl-NL"/>
        </w:rPr>
      </w:pPr>
      <w:r>
        <w:rPr>
          <w:lang w:val="nl-NL"/>
        </w:rPr>
        <w:t xml:space="preserve">4. Chi hỗ trợ ứng dụng dây chuyền công nghệ, máy móc thiết bị </w:t>
      </w:r>
      <w:r w:rsidR="00130C69">
        <w:rPr>
          <w:lang w:val="nl-NL"/>
        </w:rPr>
        <w:t xml:space="preserve">tiên </w:t>
      </w:r>
      <w:r>
        <w:rPr>
          <w:lang w:val="nl-NL"/>
        </w:rPr>
        <w:t xml:space="preserve">tiến, chuyển giao công nghệ, tiến bộ khoa học kỹ thuật vào sản xuất công nghiệp, tiểu thủ công nghiệp. Mức hỗ trợ tối đa 50% chi phí, nhưng không quá 300 triệu đồng/cơ sở. </w:t>
      </w:r>
    </w:p>
    <w:p w14:paraId="38734DC2" w14:textId="77777777" w:rsidR="00417712" w:rsidRDefault="005D684F">
      <w:pPr>
        <w:spacing w:before="120" w:after="120"/>
        <w:ind w:firstLine="720"/>
        <w:jc w:val="both"/>
        <w:rPr>
          <w:lang w:val="nl-NL"/>
        </w:rPr>
      </w:pPr>
      <w:r>
        <w:rPr>
          <w:lang w:val="nl-NL"/>
        </w:rPr>
        <w:t>5. Chi hỗ trợ tổ chức hội chợ triển lãm hàng công nghiệp nông thôn, hàng thủ côn</w:t>
      </w:r>
      <w:r w:rsidR="00E54E44">
        <w:rPr>
          <w:lang w:val="nl-NL"/>
        </w:rPr>
        <w:t>g mỹ nghệ trong nước, bao gồm: h</w:t>
      </w:r>
      <w:r>
        <w:rPr>
          <w:lang w:val="nl-NL"/>
        </w:rPr>
        <w:t>ỗ trợ 100% chi phí thuê gian hàng, chi thông tin tuyên truyền và chi hoạt động của Ban tổ chức hội chợ triển lãm trên cơ sở giá đấu thầu hoặc trường hợp không đủ điều kiện đấu thầu thì theo giá được cấp có thẩm quyền phê duyệt.</w:t>
      </w:r>
    </w:p>
    <w:p w14:paraId="3A7ADFEC" w14:textId="77777777" w:rsidR="00417712" w:rsidRDefault="005D684F">
      <w:pPr>
        <w:spacing w:before="120" w:after="120"/>
        <w:ind w:firstLine="720"/>
        <w:jc w:val="both"/>
        <w:rPr>
          <w:lang w:val="nl-NL"/>
        </w:rPr>
      </w:pPr>
      <w:r>
        <w:rPr>
          <w:lang w:val="nl-NL"/>
        </w:rPr>
        <w:t>Trường hợp các cơ sở công nghiệp nông thôn tham gia hội c</w:t>
      </w:r>
      <w:r w:rsidR="00C30235">
        <w:rPr>
          <w:lang w:val="nl-NL"/>
        </w:rPr>
        <w:t>hợ, triển lãm khác trong nước: m</w:t>
      </w:r>
      <w:r>
        <w:rPr>
          <w:lang w:val="nl-NL"/>
        </w:rPr>
        <w:t>ức hỗ trợ bằng 80% giá thuê gian hàng.</w:t>
      </w:r>
    </w:p>
    <w:p w14:paraId="16ED2F69" w14:textId="77777777" w:rsidR="00417712" w:rsidRDefault="005D684F">
      <w:pPr>
        <w:spacing w:before="120" w:after="120"/>
        <w:ind w:firstLine="720"/>
        <w:jc w:val="both"/>
        <w:rPr>
          <w:lang w:val="nl-NL"/>
        </w:rPr>
      </w:pPr>
      <w:r>
        <w:rPr>
          <w:lang w:val="nl-NL"/>
        </w:rPr>
        <w:t>6. Chi tham gia hội chợ triển lãm cho các cơ sở công nghiệp nông thôn tại nước ngoài. Hỗ trợ 10</w:t>
      </w:r>
      <w:r w:rsidR="00206010">
        <w:rPr>
          <w:lang w:val="nl-NL"/>
        </w:rPr>
        <w:t>0% các khoản chi phí, bao gồm: t</w:t>
      </w:r>
      <w:r>
        <w:rPr>
          <w:lang w:val="nl-NL"/>
        </w:rPr>
        <w:t>huê mặt bằng, thiết kế, dàn dựng gian hàng, trang trí chung. Các khoản chi phí được xác định trên cơ sở giá đấu thầu hoặc trường hợp không đủ điều kiện đấu thầu thì theo giá được cấp có thẩm quyền phê duyệt.</w:t>
      </w:r>
    </w:p>
    <w:p w14:paraId="24409E59" w14:textId="77777777" w:rsidR="00417712" w:rsidRDefault="005D684F">
      <w:pPr>
        <w:spacing w:before="120" w:after="120"/>
        <w:ind w:firstLine="720"/>
        <w:jc w:val="both"/>
        <w:rPr>
          <w:lang w:val="nl-NL"/>
        </w:rPr>
      </w:pPr>
      <w:r>
        <w:rPr>
          <w:lang w:val="nl-NL"/>
        </w:rPr>
        <w:t>7. Tham quan, khảo sát học tập kinh nghiệm trong và ngoài nước</w:t>
      </w:r>
    </w:p>
    <w:p w14:paraId="5E076F95" w14:textId="77777777" w:rsidR="00417712" w:rsidRDefault="005D684F">
      <w:pPr>
        <w:spacing w:before="120" w:after="120"/>
        <w:ind w:firstLine="720"/>
        <w:jc w:val="both"/>
        <w:rPr>
          <w:lang w:val="nl-NL"/>
        </w:rPr>
      </w:pPr>
      <w:r>
        <w:rPr>
          <w:lang w:val="nl-NL"/>
        </w:rPr>
        <w:t>a) Tham quan, khảo sát học tập kinh nghiệm ngoài nước:</w:t>
      </w:r>
    </w:p>
    <w:p w14:paraId="5E508A42" w14:textId="77777777" w:rsidR="00417712" w:rsidRDefault="005D684F">
      <w:pPr>
        <w:spacing w:before="120" w:after="120"/>
        <w:ind w:firstLine="720"/>
        <w:jc w:val="both"/>
        <w:rPr>
          <w:lang w:val="nl-NL"/>
        </w:rPr>
      </w:pPr>
      <w:r>
        <w:rPr>
          <w:lang w:val="nl-NL"/>
        </w:rPr>
        <w:t>Mức hỗ trợ các cơ sở công nghiệp nông thôn đi tham gia khảo sát, học tập kinh nghiệm nước ngoài là 100% chi phí vé máy bay. Số người được hỗ trợ theo quyết định của Ủy ban nhân dân tỉnh.</w:t>
      </w:r>
    </w:p>
    <w:p w14:paraId="52D4EBBA" w14:textId="77777777" w:rsidR="00417712" w:rsidRPr="004D58CB" w:rsidRDefault="005D684F">
      <w:pPr>
        <w:spacing w:before="120" w:after="120"/>
        <w:ind w:firstLine="720"/>
        <w:jc w:val="both"/>
        <w:rPr>
          <w:color w:val="000000" w:themeColor="text1"/>
          <w:lang w:val="nl-NL"/>
        </w:rPr>
      </w:pPr>
      <w:r w:rsidRPr="004D58CB">
        <w:rPr>
          <w:color w:val="000000" w:themeColor="text1"/>
          <w:lang w:val="nl-NL"/>
        </w:rPr>
        <w:t>Đối với các đơn vị hành chính, sự nghiệp đi tham quan, kh</w:t>
      </w:r>
      <w:r w:rsidR="00206010" w:rsidRPr="004D58CB">
        <w:rPr>
          <w:color w:val="000000" w:themeColor="text1"/>
          <w:lang w:val="nl-NL"/>
        </w:rPr>
        <w:t>ảo sát học tập kinh nghiệm</w:t>
      </w:r>
      <w:r w:rsidRPr="004D58CB">
        <w:rPr>
          <w:color w:val="000000" w:themeColor="text1"/>
          <w:lang w:val="nl-NL"/>
        </w:rPr>
        <w:t xml:space="preserve"> nước</w:t>
      </w:r>
      <w:r w:rsidR="00206010" w:rsidRPr="004D58CB">
        <w:rPr>
          <w:color w:val="000000" w:themeColor="text1"/>
          <w:lang w:val="nl-NL"/>
        </w:rPr>
        <w:t xml:space="preserve"> ngoài</w:t>
      </w:r>
      <w:r w:rsidRPr="004D58CB">
        <w:rPr>
          <w:color w:val="000000" w:themeColor="text1"/>
          <w:lang w:val="nl-NL"/>
        </w:rPr>
        <w:t xml:space="preserve"> theo Quyết định của Ủy ban nhân dân tỉnh. Mức chi áp dụng theo Thôn</w:t>
      </w:r>
      <w:r w:rsidR="00206010" w:rsidRPr="004D58CB">
        <w:rPr>
          <w:color w:val="000000" w:themeColor="text1"/>
          <w:lang w:val="nl-NL"/>
        </w:rPr>
        <w:t xml:space="preserve">g tư số 102/2012/TT-BTC ngày 21 tháng 6 năm </w:t>
      </w:r>
      <w:r w:rsidRPr="004D58CB">
        <w:rPr>
          <w:color w:val="000000" w:themeColor="text1"/>
          <w:lang w:val="nl-NL"/>
        </w:rPr>
        <w:t>2012 của</w:t>
      </w:r>
      <w:r w:rsidR="00206010" w:rsidRPr="004D58CB">
        <w:rPr>
          <w:color w:val="000000" w:themeColor="text1"/>
          <w:lang w:val="nl-NL"/>
        </w:rPr>
        <w:t xml:space="preserve"> Bộ trưởng</w:t>
      </w:r>
      <w:r w:rsidR="00670BFD" w:rsidRPr="004D58CB">
        <w:rPr>
          <w:color w:val="000000" w:themeColor="text1"/>
          <w:lang w:val="nl-NL"/>
        </w:rPr>
        <w:t xml:space="preserve"> Bộ Tài chính q</w:t>
      </w:r>
      <w:r w:rsidRPr="004D58CB">
        <w:rPr>
          <w:color w:val="000000" w:themeColor="text1"/>
          <w:lang w:val="nl-NL"/>
        </w:rPr>
        <w:t>uy định ch</w:t>
      </w:r>
      <w:r w:rsidR="00670BFD" w:rsidRPr="004D58CB">
        <w:rPr>
          <w:color w:val="000000" w:themeColor="text1"/>
          <w:lang w:val="nl-NL"/>
        </w:rPr>
        <w:t>ế độ công tác phí cho cán bộ, cô</w:t>
      </w:r>
      <w:r w:rsidRPr="004D58CB">
        <w:rPr>
          <w:color w:val="000000" w:themeColor="text1"/>
          <w:lang w:val="nl-NL"/>
        </w:rPr>
        <w:t>ng chức Nhà nước đi công tác ngắn hạn ở nước ngoài do ngân sách Nhà nước bảo đảm kinh phí.</w:t>
      </w:r>
    </w:p>
    <w:p w14:paraId="4D643209" w14:textId="77777777" w:rsidR="00417712" w:rsidRDefault="005D684F">
      <w:pPr>
        <w:spacing w:before="120" w:after="120"/>
        <w:ind w:firstLine="720"/>
        <w:jc w:val="both"/>
        <w:rPr>
          <w:lang w:val="nl-NL"/>
        </w:rPr>
      </w:pPr>
      <w:r>
        <w:rPr>
          <w:lang w:val="nl-NL"/>
        </w:rPr>
        <w:t>b) Chi hỗ trợ tổ chức trao đổi, học tập kinh nghiệm trong nước về công tác khuyến công, khuyến khích phát triển công nghiệp, quản lý cụm công nghiệp, sản xuất sạch hơn:</w:t>
      </w:r>
    </w:p>
    <w:p w14:paraId="17E05997" w14:textId="77777777" w:rsidR="00417712" w:rsidRPr="004D58CB" w:rsidRDefault="00670BFD">
      <w:pPr>
        <w:spacing w:before="120" w:after="120"/>
        <w:ind w:firstLine="720"/>
        <w:jc w:val="both"/>
        <w:rPr>
          <w:color w:val="000000" w:themeColor="text1"/>
          <w:lang w:val="nl-NL"/>
        </w:rPr>
      </w:pPr>
      <w:r w:rsidRPr="004D58CB">
        <w:rPr>
          <w:color w:val="000000" w:themeColor="text1"/>
          <w:lang w:val="nl-NL"/>
        </w:rPr>
        <w:t>Hỗ trợ 100% chi phí gồm: t</w:t>
      </w:r>
      <w:r w:rsidR="005D684F" w:rsidRPr="004D58CB">
        <w:rPr>
          <w:color w:val="000000" w:themeColor="text1"/>
          <w:lang w:val="nl-NL"/>
        </w:rPr>
        <w:t>huê phương tiện đi lại hoặc chi phí tàu xe, vé máy bay; thuê chỗ ở; phụ cấp lưu trú. Mức chi theo  Nghị quyết số 83/2017/NQ-HĐND ngày 09 tháng 12 năm 2017 của Hội đồng nhân dân tỉnh Điện Biên Quy định chế độ công tác phí, chế độ chi hội nghị của các cơ quan, đơn vị trên địa bàn tỉnh Điện Biên.</w:t>
      </w:r>
    </w:p>
    <w:p w14:paraId="14D9B2ED" w14:textId="77777777" w:rsidR="00417712" w:rsidRDefault="005D684F">
      <w:pPr>
        <w:spacing w:before="120" w:after="120"/>
        <w:ind w:firstLine="720"/>
        <w:jc w:val="both"/>
        <w:rPr>
          <w:lang w:val="nl-NL"/>
        </w:rPr>
      </w:pPr>
      <w:r>
        <w:rPr>
          <w:lang w:val="nl-NL"/>
        </w:rPr>
        <w:t>8. Chi tổ chức bình chọn và trao giấy chứng nhận sản phẩm công nghiệp nông thôn tiêu biểu cấp tỉnh.</w:t>
      </w:r>
    </w:p>
    <w:p w14:paraId="7EB1E2FE" w14:textId="77777777" w:rsidR="00417712" w:rsidRDefault="005D684F">
      <w:pPr>
        <w:spacing w:before="120" w:after="120"/>
        <w:ind w:firstLine="720"/>
        <w:jc w:val="both"/>
        <w:rPr>
          <w:lang w:val="nl-NL"/>
        </w:rPr>
      </w:pPr>
      <w:r>
        <w:rPr>
          <w:lang w:val="nl-NL"/>
        </w:rPr>
        <w:lastRenderedPageBreak/>
        <w:t xml:space="preserve">a) Chi tổ chức bình chọn, trao giấy chứng nhận sản phẩm công nghiệp nông thôn tiêu biểu cấp tỉnh không quá 100 triệu đồng/lần.  </w:t>
      </w:r>
    </w:p>
    <w:p w14:paraId="095E339F" w14:textId="77777777" w:rsidR="00417712" w:rsidRDefault="005D684F">
      <w:pPr>
        <w:spacing w:before="120" w:after="120"/>
        <w:ind w:firstLine="720"/>
        <w:jc w:val="both"/>
        <w:rPr>
          <w:lang w:val="nl-NL"/>
        </w:rPr>
      </w:pPr>
      <w:r>
        <w:rPr>
          <w:lang w:val="nl-NL"/>
        </w:rPr>
        <w:t>b) Chi thưởng cho sản phẩm công nghiệp nông thôn tiêu biểu cấp tỉnh không quá 3 triệu đồng/sản phẩm.</w:t>
      </w:r>
    </w:p>
    <w:p w14:paraId="7DEF0C49" w14:textId="77777777" w:rsidR="00417712" w:rsidRDefault="005D684F">
      <w:pPr>
        <w:spacing w:before="120" w:after="120"/>
        <w:ind w:firstLine="720"/>
        <w:jc w:val="both"/>
        <w:rPr>
          <w:lang w:val="nl-NL"/>
        </w:rPr>
      </w:pPr>
      <w:r>
        <w:rPr>
          <w:lang w:val="nl-NL"/>
        </w:rPr>
        <w:t>9. Chi hỗ trợ xây dựng và đăng ký nhãn hiệu đối với các s</w:t>
      </w:r>
      <w:r w:rsidR="00670BFD">
        <w:rPr>
          <w:lang w:val="nl-NL"/>
        </w:rPr>
        <w:t>ản phẩm công nghiệp nông thôn: m</w:t>
      </w:r>
      <w:r>
        <w:rPr>
          <w:lang w:val="nl-NL"/>
        </w:rPr>
        <w:t>ức hỗ trợ tối đa không quá 35 triệu đồng/nhãn hiệu.</w:t>
      </w:r>
    </w:p>
    <w:p w14:paraId="56B74F32" w14:textId="77777777" w:rsidR="00417712" w:rsidRDefault="005D684F">
      <w:pPr>
        <w:spacing w:before="120" w:after="120"/>
        <w:ind w:firstLine="720"/>
        <w:jc w:val="both"/>
        <w:rPr>
          <w:lang w:val="nl-NL"/>
        </w:rPr>
      </w:pPr>
      <w:r>
        <w:rPr>
          <w:lang w:val="nl-NL"/>
        </w:rPr>
        <w:t xml:space="preserve">10. Chi hỗ trợ thuê tư vấn, trợ giúp các cơ sở công nghiệp nông </w:t>
      </w:r>
      <w:r w:rsidR="00670BFD">
        <w:rPr>
          <w:lang w:val="nl-NL"/>
        </w:rPr>
        <w:t>thôn trong các lĩnh vực: lập dự án đầu tư; m</w:t>
      </w:r>
      <w:r>
        <w:rPr>
          <w:lang w:val="nl-NL"/>
        </w:rPr>
        <w:t>arketing; quản lý sản xuất, tài chính, kế toán, nhân lực; thiết kế mẫu mã, bao bì đóng gói; ứng dụng công nghệ, thiết bị mới. Mức hỗ trợ tối đa 50% chi phí, nhưng không quá 35 triệu đồng/cơ sở.</w:t>
      </w:r>
    </w:p>
    <w:p w14:paraId="5166029C" w14:textId="77777777" w:rsidR="00417712" w:rsidRDefault="005D684F">
      <w:pPr>
        <w:spacing w:before="120" w:after="120"/>
        <w:ind w:firstLine="720"/>
        <w:jc w:val="both"/>
        <w:rPr>
          <w:lang w:val="nl-NL"/>
        </w:rPr>
      </w:pPr>
      <w:r>
        <w:rPr>
          <w:lang w:val="nl-NL"/>
        </w:rPr>
        <w:t>11. Chi xây dựng các chương trình truyền hình, truyền thanh; xuất bản các bản tin ấn phẩm; tờ rơi, tờ gấp và các hình thức thông tin đại chúng khác. Mức chi thực hiện theo hình thức hợp đồng với cơ quan tuyên truyền và cơ quan thông tin đại chúng theo phương thức đấu thầu, trường hợp đặt hàng giao nhiệm vụ thực hiện theo đơn giá được cấp thẩm quyền phê duyệt.</w:t>
      </w:r>
    </w:p>
    <w:p w14:paraId="517F0585" w14:textId="77777777" w:rsidR="00417712" w:rsidRDefault="005D684F">
      <w:pPr>
        <w:spacing w:before="120" w:after="120"/>
        <w:ind w:firstLine="720"/>
        <w:jc w:val="both"/>
        <w:rPr>
          <w:lang w:val="nl-NL"/>
        </w:rPr>
      </w:pPr>
      <w:r>
        <w:rPr>
          <w:lang w:val="nl-NL"/>
        </w:rPr>
        <w:t>12. Chi hỗ trợ thành lập các hội, hiệp hội ngành nghề công nghiệp, tiểu thủ công nghiệp cấp tỉnh. Mức hỗ trợ tối đa 30% chi phí thành lập, nhưng không quá 50 triệu đồng/hội, hiệp hội.</w:t>
      </w:r>
    </w:p>
    <w:p w14:paraId="110399E8" w14:textId="77777777" w:rsidR="00417712" w:rsidRDefault="005D684F">
      <w:pPr>
        <w:spacing w:before="120" w:after="120"/>
        <w:ind w:firstLine="720"/>
        <w:jc w:val="both"/>
        <w:rPr>
          <w:lang w:val="nl-NL"/>
        </w:rPr>
      </w:pPr>
      <w:r>
        <w:rPr>
          <w:lang w:val="nl-NL"/>
        </w:rPr>
        <w:t>13. Chi hỗ trợ để hình thành cụm liên kết doanh nghiệp công nghiệp. Mức hỗ trợ tối đa 50% chi phí, nhưng không quá 150 triệu đồng/cụm liên kết.</w:t>
      </w:r>
    </w:p>
    <w:p w14:paraId="523423E9" w14:textId="77777777" w:rsidR="00417712" w:rsidRDefault="005D684F">
      <w:pPr>
        <w:spacing w:before="120" w:after="120"/>
        <w:ind w:firstLine="720"/>
        <w:jc w:val="both"/>
        <w:rPr>
          <w:lang w:val="nl-NL"/>
        </w:rPr>
      </w:pPr>
      <w:r>
        <w:rPr>
          <w:lang w:val="nl-NL"/>
        </w:rPr>
        <w:t>14. Chi hỗ trợ sửa chữa, nâng cấp hệ thống xử lý ô nhiễm môi trường tại cơ sở công nghiệp nông thôn. Mức hỗ trợ tối đa 30% chi phí, nhưng không quá 300 triệu đồng/cơ sở.</w:t>
      </w:r>
    </w:p>
    <w:p w14:paraId="35527830" w14:textId="77777777" w:rsidR="00417712" w:rsidRPr="004D58CB" w:rsidRDefault="005D684F">
      <w:pPr>
        <w:spacing w:before="120" w:after="120"/>
        <w:ind w:firstLine="720"/>
        <w:jc w:val="both"/>
        <w:rPr>
          <w:color w:val="000000" w:themeColor="text1"/>
          <w:lang w:val="nl-NL"/>
        </w:rPr>
      </w:pPr>
      <w:r w:rsidRPr="004D58CB">
        <w:rPr>
          <w:color w:val="000000" w:themeColor="text1"/>
          <w:lang w:val="nl-NL"/>
        </w:rPr>
        <w:t>15. Chi hỗ trợ sửa chữa, nâng cấp hệ thống xử lý ô nhiễm môi trường tại các cụm công nghiệp. Mức hỗ trợ theo dự án được phê duyệt, phù hợp với khả năng cân đối, bố trí ngân sách địa phương sau khi có ý kiến thống nhất của Sở Tài chính, nhưng tối đa không quá 1.000 triệu đồng/cụm.</w:t>
      </w:r>
    </w:p>
    <w:p w14:paraId="37D99B69" w14:textId="77777777" w:rsidR="00417712" w:rsidRDefault="005D684F">
      <w:pPr>
        <w:spacing w:before="120" w:after="120"/>
        <w:ind w:firstLine="720"/>
        <w:jc w:val="both"/>
        <w:rPr>
          <w:lang w:val="nl-NL"/>
        </w:rPr>
      </w:pPr>
      <w:r>
        <w:rPr>
          <w:lang w:val="nl-NL"/>
        </w:rPr>
        <w:t>16. Chi hỗ trợ lập quy hoạch chi tiết cụm công nghiệp. Mức hỗ trợ tối đa 50% chi phí, nhưng không quá 500 triệu đồng/cụm công nghiệp.</w:t>
      </w:r>
    </w:p>
    <w:p w14:paraId="322BDA0C" w14:textId="77777777" w:rsidR="00417712" w:rsidRDefault="005D684F">
      <w:pPr>
        <w:spacing w:before="120" w:after="120"/>
        <w:ind w:firstLine="720"/>
        <w:jc w:val="both"/>
        <w:rPr>
          <w:lang w:val="nl-NL"/>
        </w:rPr>
      </w:pPr>
      <w:r>
        <w:rPr>
          <w:lang w:val="nl-NL"/>
        </w:rPr>
        <w:t xml:space="preserve"> 17. Chi tổ chức các lớp bồi dưỡng, tập huấn, đào tạo:</w:t>
      </w:r>
    </w:p>
    <w:p w14:paraId="5758BC19" w14:textId="77777777" w:rsidR="00417712" w:rsidRPr="004D58CB" w:rsidRDefault="005D684F">
      <w:pPr>
        <w:spacing w:before="120" w:after="120"/>
        <w:ind w:firstLine="720"/>
        <w:jc w:val="both"/>
        <w:rPr>
          <w:color w:val="000000" w:themeColor="text1"/>
          <w:lang w:val="nl-NL"/>
        </w:rPr>
      </w:pPr>
      <w:r w:rsidRPr="004D58CB">
        <w:rPr>
          <w:color w:val="000000" w:themeColor="text1"/>
          <w:lang w:val="nl-NL"/>
        </w:rPr>
        <w:t xml:space="preserve">a) Chi hỗ trợ đào tạo nâng cao tay nghề cho người lao động thực hiện theo Quyết định số </w:t>
      </w:r>
      <w:r w:rsidRPr="004D58CB">
        <w:rPr>
          <w:color w:val="000000" w:themeColor="text1"/>
          <w:lang w:val="vi-VN"/>
        </w:rPr>
        <w:t>18/2023/QĐ-UBND</w:t>
      </w:r>
      <w:r w:rsidRPr="004D58CB">
        <w:rPr>
          <w:color w:val="000000" w:themeColor="text1"/>
          <w:lang w:val="nl-NL"/>
        </w:rPr>
        <w:t xml:space="preserve"> ngày 29 tháng 9 năm 2023 của </w:t>
      </w:r>
      <w:r w:rsidR="00670BFD" w:rsidRPr="004D58CB">
        <w:rPr>
          <w:color w:val="000000" w:themeColor="text1"/>
          <w:lang w:val="vi-VN"/>
        </w:rPr>
        <w:t xml:space="preserve">Ủy ban nhân dân tỉnh Điện Biên </w:t>
      </w:r>
      <w:r w:rsidR="00670BFD" w:rsidRPr="004D58CB">
        <w:rPr>
          <w:color w:val="000000" w:themeColor="text1"/>
        </w:rPr>
        <w:t>q</w:t>
      </w:r>
      <w:r w:rsidRPr="004D58CB">
        <w:rPr>
          <w:color w:val="000000" w:themeColor="text1"/>
          <w:lang w:val="vi-VN"/>
        </w:rPr>
        <w:t xml:space="preserve">uy định danh mục nghề, mức chi phí đào tạo, mức hỗ trợ chi phí đào tạo trình độ </w:t>
      </w:r>
      <w:r w:rsidRPr="004D58CB">
        <w:rPr>
          <w:color w:val="000000" w:themeColor="text1"/>
          <w:lang w:val="nl-NL"/>
        </w:rPr>
        <w:t>sơ cấp, đào tạo dưới 03 th</w:t>
      </w:r>
      <w:r w:rsidRPr="004D58CB">
        <w:rPr>
          <w:color w:val="000000" w:themeColor="text1"/>
          <w:lang w:val="vi-VN"/>
        </w:rPr>
        <w:t xml:space="preserve">áng trên địa bàn tỉnh Điện Biên </w:t>
      </w:r>
      <w:r w:rsidRPr="004D58CB">
        <w:rPr>
          <w:color w:val="000000" w:themeColor="text1"/>
          <w:lang w:val="nl-NL"/>
        </w:rPr>
        <w:t>(các nghề chưa có quy định cụ thể thì áp dụng theo nhóm ngành, nghề tương tự).</w:t>
      </w:r>
    </w:p>
    <w:p w14:paraId="0234FEB3" w14:textId="77777777" w:rsidR="00417712" w:rsidRDefault="005D684F">
      <w:pPr>
        <w:spacing w:before="120" w:after="120"/>
        <w:ind w:firstLine="720"/>
        <w:jc w:val="both"/>
        <w:rPr>
          <w:lang w:val="nl-NL"/>
        </w:rPr>
      </w:pPr>
      <w:r>
        <w:rPr>
          <w:lang w:val="nl-NL"/>
        </w:rPr>
        <w:t>b) Chi đào tạo thợ giỏi, nghệ nhân tiểu thủ công nghiệp để duy trì, phát triển nghề và hình thành đội ngũ giảng viên phục vụ chương trình đào tạo nghề, nâng cao tay nghề, truyền nghề ở nông thôn</w:t>
      </w:r>
      <w:r w:rsidR="00670BFD">
        <w:rPr>
          <w:lang w:val="nl-NL"/>
        </w:rPr>
        <w:t>. Mức chi theo dự toán được Uỷ ban nhân dân</w:t>
      </w:r>
      <w:r>
        <w:rPr>
          <w:lang w:val="nl-NL"/>
        </w:rPr>
        <w:t xml:space="preserve"> tỉnh phê duyệt.</w:t>
      </w:r>
    </w:p>
    <w:p w14:paraId="461BD6EB" w14:textId="77777777" w:rsidR="00417712" w:rsidRDefault="005D684F">
      <w:pPr>
        <w:spacing w:before="120" w:after="120"/>
        <w:ind w:firstLine="720"/>
        <w:jc w:val="both"/>
        <w:rPr>
          <w:lang w:val="nl-NL"/>
        </w:rPr>
      </w:pPr>
      <w:r>
        <w:rPr>
          <w:lang w:val="nl-NL"/>
        </w:rPr>
        <w:lastRenderedPageBreak/>
        <w:t>18. Nâng cao năng lực quản lý và tổ chức thực hiện hoạt động khuyến công; chỉ đạo phát triển công nghiệp, tiểu thủ công nghiệp và xây dựng phát triển làng nghề trên địa bàn tỉnh.</w:t>
      </w:r>
    </w:p>
    <w:p w14:paraId="3510D090" w14:textId="77777777" w:rsidR="00417712" w:rsidRDefault="00BD1811">
      <w:pPr>
        <w:spacing w:before="120" w:after="120"/>
        <w:ind w:firstLine="720"/>
        <w:jc w:val="both"/>
        <w:rPr>
          <w:lang w:val="nl-NL"/>
        </w:rPr>
      </w:pPr>
      <w:r w:rsidRPr="004D58CB">
        <w:rPr>
          <w:lang w:val="nl-NL"/>
        </w:rPr>
        <w:t>Nội dung chi gồm: x</w:t>
      </w:r>
      <w:r w:rsidR="005D684F" w:rsidRPr="004D58CB">
        <w:rPr>
          <w:lang w:val="nl-NL"/>
        </w:rPr>
        <w:t>ây dựng chương trình, tài liệu và tổ chức tập huấn, bồi dưỡng chuyên môn, nghiệp vụ cho cán bộ làm công tác khuyến công; chi hội thảo chuyên đề, hội nghị đánh giá tổng kết về hoạt động khuyến công; xây dựng, duy trì và phổ biến các cơ sở dữ liệu và trang thông tin điện tử về khuyến công, sản xuất sạch hơn; nâng cấp cơ sở vật chất, phương tiện làm việc cho Trung tâm Khuyến công và Tư vấn phát triển công nghiệp; xây dựng chương trình khuyến công từng giai đoạn và kế hoạch khuyến công hàng năm. Mức chi theo quy định hiện hành và theo đề án, dự án được cấp có thẩm quyền phê duyệt.</w:t>
      </w:r>
    </w:p>
    <w:p w14:paraId="611DF0F6" w14:textId="77777777" w:rsidR="00417712" w:rsidRDefault="005D684F">
      <w:pPr>
        <w:spacing w:before="120" w:after="120"/>
        <w:ind w:firstLine="720"/>
        <w:jc w:val="both"/>
        <w:rPr>
          <w:lang w:val="nl-NL"/>
        </w:rPr>
      </w:pPr>
      <w:r>
        <w:rPr>
          <w:lang w:val="nl-NL"/>
        </w:rPr>
        <w:t>19. Chi thù lao cho cộng tác viên khuyến công. Mức chi tối đa không quá 1,0 lần mức lương cơ sở/người/tháng.</w:t>
      </w:r>
    </w:p>
    <w:p w14:paraId="54B2069A" w14:textId="77777777" w:rsidR="00417712" w:rsidRDefault="005D684F">
      <w:pPr>
        <w:spacing w:before="120" w:after="120"/>
        <w:ind w:firstLine="720"/>
        <w:jc w:val="both"/>
        <w:rPr>
          <w:lang w:val="nl-NL"/>
        </w:rPr>
      </w:pPr>
      <w:r>
        <w:rPr>
          <w:lang w:val="nl-NL"/>
        </w:rPr>
        <w:t>20. Chi hỗ trợ các phòng trưng bày để giới thiệu, quảng bá sản phẩm tại Trung tâm Khuyến công và Tư vấn phát triển công nghiệp và cơ sở công nghiệp nông thôn:</w:t>
      </w:r>
    </w:p>
    <w:p w14:paraId="4CB417BD" w14:textId="77777777" w:rsidR="00417712" w:rsidRDefault="005D684F">
      <w:pPr>
        <w:spacing w:before="120" w:after="120"/>
        <w:ind w:firstLine="720"/>
        <w:jc w:val="both"/>
        <w:rPr>
          <w:lang w:val="nl-NL"/>
        </w:rPr>
      </w:pPr>
      <w:r>
        <w:rPr>
          <w:lang w:val="nl-NL"/>
        </w:rPr>
        <w:t xml:space="preserve">a) Trung tâm Khuyến công và </w:t>
      </w:r>
      <w:r w:rsidR="00BD1811">
        <w:rPr>
          <w:lang w:val="nl-NL"/>
        </w:rPr>
        <w:t>Tư vấn phát triển công nghiệp: c</w:t>
      </w:r>
      <w:r>
        <w:rPr>
          <w:lang w:val="nl-NL"/>
        </w:rPr>
        <w:t>hi phí mua sắm ban đầu trang thiết bị, dụng cụ quản lý dùng để trưng bày. Mức hỗ trợ tối đa không quá 200 triệu đồng/phòng trưng bày.</w:t>
      </w:r>
    </w:p>
    <w:p w14:paraId="33FF86AD" w14:textId="77777777" w:rsidR="00417712" w:rsidRDefault="005D684F">
      <w:pPr>
        <w:spacing w:before="120" w:after="120"/>
        <w:ind w:firstLine="720"/>
        <w:jc w:val="both"/>
        <w:rPr>
          <w:lang w:val="nl-NL"/>
        </w:rPr>
      </w:pPr>
      <w:r>
        <w:rPr>
          <w:lang w:val="nl-NL"/>
        </w:rPr>
        <w:t>b) Cơ sở công nghiệp nông thôn có sản phẩm công nghiệp nôn</w:t>
      </w:r>
      <w:r w:rsidR="00BD1811">
        <w:rPr>
          <w:lang w:val="nl-NL"/>
        </w:rPr>
        <w:t>g thôn tiêu biểu cấp quốc gia: c</w:t>
      </w:r>
      <w:r>
        <w:rPr>
          <w:lang w:val="nl-NL"/>
        </w:rPr>
        <w:t>hi phí mua sắm ban đầu trang thiết bị, dụng cụ quản lý dùng để trưng bày. Mức hỗ trợ tối đa không quá 70 triệu đồng/phòng trưng bày.</w:t>
      </w:r>
    </w:p>
    <w:p w14:paraId="6CDE6C98" w14:textId="77777777" w:rsidR="00417712" w:rsidRDefault="005D684F">
      <w:pPr>
        <w:spacing w:before="120" w:after="120"/>
        <w:ind w:firstLine="720"/>
        <w:jc w:val="both"/>
        <w:rPr>
          <w:lang w:val="nl-NL"/>
        </w:rPr>
      </w:pPr>
      <w:r>
        <w:rPr>
          <w:lang w:val="nl-NL"/>
        </w:rPr>
        <w:t>c) Cơ sở công nghiệp nông thôn có sản phẩm công nghiệp nông thôn ti</w:t>
      </w:r>
      <w:r w:rsidR="00BD1811">
        <w:rPr>
          <w:lang w:val="nl-NL"/>
        </w:rPr>
        <w:t>êu biểu cấp khu vực, cấp tỉnh: c</w:t>
      </w:r>
      <w:r>
        <w:rPr>
          <w:lang w:val="nl-NL"/>
        </w:rPr>
        <w:t>hi phí mua sắm ban đầu trang thiết bị, dụng cụ quản lý dùng để trưng bày. Mức hỗ trợ tối đa không quá 50 triệu đồng/phòng trưng bày.</w:t>
      </w:r>
    </w:p>
    <w:p w14:paraId="2BF8E394" w14:textId="77777777" w:rsidR="00417712" w:rsidRDefault="005D684F">
      <w:pPr>
        <w:spacing w:before="120" w:after="120"/>
        <w:ind w:firstLine="720"/>
        <w:jc w:val="both"/>
        <w:rPr>
          <w:lang w:val="nl-NL"/>
        </w:rPr>
      </w:pPr>
      <w:r>
        <w:rPr>
          <w:lang w:val="nl-NL"/>
        </w:rPr>
        <w:t>21. Chi quản lý chương trình đề án khuyến công</w:t>
      </w:r>
    </w:p>
    <w:p w14:paraId="063F6F06" w14:textId="77777777" w:rsidR="00417712" w:rsidRDefault="005D684F">
      <w:pPr>
        <w:spacing w:before="120" w:after="120"/>
        <w:ind w:firstLine="720"/>
        <w:jc w:val="both"/>
        <w:rPr>
          <w:lang w:val="nl-NL"/>
        </w:rPr>
      </w:pPr>
      <w:r>
        <w:rPr>
          <w:lang w:val="nl-NL"/>
        </w:rPr>
        <w:t>a) Chi cho cơ quan quản lý kinh phí khuyến công:</w:t>
      </w:r>
    </w:p>
    <w:p w14:paraId="4A92ECE1" w14:textId="77777777" w:rsidR="00417712" w:rsidRDefault="005D684F">
      <w:pPr>
        <w:spacing w:before="120" w:after="120"/>
        <w:ind w:firstLine="720"/>
        <w:jc w:val="both"/>
        <w:rPr>
          <w:lang w:val="nl-NL"/>
        </w:rPr>
      </w:pPr>
      <w:r>
        <w:rPr>
          <w:lang w:val="nl-NL"/>
        </w:rPr>
        <w:t>Hỗ trợ xây dựng các chương trình, đề án, kiểm tra, giám sát, nghiệm thu nội dung gồm:</w:t>
      </w:r>
      <w:r w:rsidR="00BD1811">
        <w:rPr>
          <w:lang w:val="nl-NL"/>
        </w:rPr>
        <w:t xml:space="preserve"> l</w:t>
      </w:r>
      <w:r>
        <w:rPr>
          <w:lang w:val="nl-NL"/>
        </w:rPr>
        <w:t>àm thêm giờ; văn phòng phẩm, điệ</w:t>
      </w:r>
      <w:r w:rsidR="00BD1811">
        <w:rPr>
          <w:lang w:val="nl-NL"/>
        </w:rPr>
        <w:t>n thoại, bưu chính, điện nước; c</w:t>
      </w:r>
      <w:r>
        <w:rPr>
          <w:lang w:val="nl-NL"/>
        </w:rPr>
        <w:t>hi công tác phí, xăng dầu, thuê xe đi kiểm tra; chi thẩm định xét chọn, nghiệm thu chương trình, đề án khuyến công; chi khác (nếu có). Mức chi: Tối đa 1,5% kinh phí khuyến công do Ủy ban nhân dân tỉnh giao hàng năm.</w:t>
      </w:r>
    </w:p>
    <w:p w14:paraId="01965A52" w14:textId="77777777" w:rsidR="00417712" w:rsidRDefault="005D684F">
      <w:pPr>
        <w:spacing w:before="120" w:after="120"/>
        <w:ind w:firstLine="720"/>
        <w:jc w:val="both"/>
        <w:rPr>
          <w:lang w:val="nl-NL"/>
        </w:rPr>
      </w:pPr>
      <w:r>
        <w:rPr>
          <w:lang w:val="nl-NL"/>
        </w:rPr>
        <w:t>b) Chi cho tổ chức thực hiện hoạt động dịch vụ khuyến công:</w:t>
      </w:r>
    </w:p>
    <w:p w14:paraId="0013A275" w14:textId="77777777" w:rsidR="00417712" w:rsidRDefault="005D684F">
      <w:pPr>
        <w:spacing w:before="120" w:after="120"/>
        <w:ind w:firstLine="720"/>
        <w:jc w:val="both"/>
        <w:rPr>
          <w:lang w:val="nl-NL"/>
        </w:rPr>
      </w:pPr>
      <w:r>
        <w:rPr>
          <w:lang w:val="nl-NL"/>
        </w:rPr>
        <w:t>Chi công tác triển khai thực</w:t>
      </w:r>
      <w:r w:rsidR="00AC11F1">
        <w:rPr>
          <w:lang w:val="nl-NL"/>
        </w:rPr>
        <w:t xml:space="preserve"> hiện kế hoạch, đề án bao gồm: c</w:t>
      </w:r>
      <w:r>
        <w:rPr>
          <w:lang w:val="nl-NL"/>
        </w:rPr>
        <w:t>ông tác quản lý, chỉ đạo, kiểm tra, giám sát, chi khác (nếu có). Mức chi: Tối đa 4% dự toán đề án khuyến công được duyệt.</w:t>
      </w:r>
    </w:p>
    <w:p w14:paraId="0C4C0B7F" w14:textId="77777777" w:rsidR="00417712" w:rsidRDefault="005D684F">
      <w:pPr>
        <w:spacing w:before="120" w:after="120"/>
        <w:ind w:firstLine="720"/>
      </w:pPr>
      <w:r>
        <w:rPr>
          <w:b/>
          <w:bCs/>
        </w:rPr>
        <w:t>Điều 4. Nguồn kinh phí</w:t>
      </w:r>
    </w:p>
    <w:p w14:paraId="5C61AD76" w14:textId="77777777" w:rsidR="00417712" w:rsidRDefault="005D684F">
      <w:pPr>
        <w:spacing w:before="120" w:after="120"/>
        <w:ind w:firstLine="720"/>
        <w:jc w:val="both"/>
      </w:pPr>
      <w:r>
        <w:t xml:space="preserve">1. Ngân sách tỉnh bảo đảm kinh phí cho các hoạt động khuyến công địa phương do Ủy ban nhân dân tỉnh quyết định.  </w:t>
      </w:r>
    </w:p>
    <w:p w14:paraId="2A485C91" w14:textId="77777777" w:rsidR="00417712" w:rsidRDefault="005D684F">
      <w:pPr>
        <w:spacing w:before="120" w:after="120"/>
        <w:ind w:firstLine="720"/>
        <w:jc w:val="both"/>
      </w:pPr>
      <w:r>
        <w:lastRenderedPageBreak/>
        <w:t>2. Huy động, lồng ghép từ các nguồn tài chính hợp pháp khác theo quy định của pháp luật.</w:t>
      </w:r>
    </w:p>
    <w:p w14:paraId="3513EB50" w14:textId="77777777" w:rsidR="00417712" w:rsidRDefault="005D684F">
      <w:pPr>
        <w:spacing w:before="120" w:after="120"/>
        <w:ind w:firstLine="720"/>
      </w:pPr>
      <w:r>
        <w:rPr>
          <w:b/>
          <w:bCs/>
        </w:rPr>
        <w:t>Điều 5. Tổ chức thực hiện</w:t>
      </w:r>
      <w:bookmarkEnd w:id="3"/>
    </w:p>
    <w:p w14:paraId="58371E39" w14:textId="77777777" w:rsidR="00417712" w:rsidRDefault="005D684F">
      <w:pPr>
        <w:spacing w:before="120" w:after="120"/>
        <w:ind w:firstLine="720"/>
        <w:jc w:val="both"/>
      </w:pPr>
      <w:r>
        <w:t>1. Giao Ủy ban nhân dân tỉnh tổ chức thực hiện Nghị quyết theo quy định của pháp luật.</w:t>
      </w:r>
    </w:p>
    <w:p w14:paraId="558F5975" w14:textId="77777777" w:rsidR="00417712" w:rsidRDefault="005D684F">
      <w:pPr>
        <w:spacing w:before="120" w:after="120"/>
        <w:ind w:firstLine="720"/>
        <w:jc w:val="both"/>
      </w:pPr>
      <w:r>
        <w:t>2. Giao Thường trực Hội đồng nhân dân tỉnh, các</w:t>
      </w:r>
      <w:r w:rsidR="00AC11F1">
        <w:t xml:space="preserve"> của</w:t>
      </w:r>
      <w:r>
        <w:t xml:space="preserve"> Ban Hội đồng nhân dân tỉnh, các Tổ đại biểu Hội đồng nhân dân tỉnh và đại biểu Hội đồng nhân dân tỉnh giám sát việc thực hiện Nghị quyết.</w:t>
      </w:r>
    </w:p>
    <w:p w14:paraId="7767B4CB" w14:textId="5147952B" w:rsidR="00417712" w:rsidRDefault="005D684F">
      <w:pPr>
        <w:spacing w:before="120" w:after="120"/>
        <w:ind w:firstLine="720"/>
        <w:jc w:val="both"/>
        <w:rPr>
          <w:b/>
        </w:rPr>
      </w:pPr>
      <w:r>
        <w:rPr>
          <w:b/>
        </w:rPr>
        <w:t xml:space="preserve">Điều 6. </w:t>
      </w:r>
      <w:r w:rsidR="00847AD1">
        <w:rPr>
          <w:b/>
        </w:rPr>
        <w:t>Hiệu lực</w:t>
      </w:r>
      <w:r>
        <w:rPr>
          <w:b/>
        </w:rPr>
        <w:t xml:space="preserve"> thi hành</w:t>
      </w:r>
    </w:p>
    <w:p w14:paraId="608FC109" w14:textId="407373CD" w:rsidR="00417712" w:rsidRDefault="00B30E4B">
      <w:pPr>
        <w:spacing w:before="120" w:after="120"/>
        <w:ind w:firstLine="720"/>
        <w:jc w:val="both"/>
      </w:pPr>
      <w:r>
        <w:t xml:space="preserve">1. </w:t>
      </w:r>
      <w:r w:rsidR="005D684F">
        <w:t>Nghị quy</w:t>
      </w:r>
      <w:r w:rsidR="008408E3">
        <w:t xml:space="preserve">ết này có hiệu lực từ ngày 25 tháng 7 </w:t>
      </w:r>
      <w:r w:rsidR="005D684F">
        <w:t>năm 2025.</w:t>
      </w:r>
    </w:p>
    <w:p w14:paraId="05ED68B0" w14:textId="58FCC3B6" w:rsidR="00417712" w:rsidRPr="00820701" w:rsidRDefault="00B30E4B">
      <w:pPr>
        <w:spacing w:before="120" w:after="120"/>
        <w:ind w:firstLine="720"/>
        <w:jc w:val="both"/>
        <w:rPr>
          <w:color w:val="000000" w:themeColor="text1"/>
          <w:spacing w:val="-4"/>
          <w:lang w:val="nl-NL"/>
        </w:rPr>
      </w:pPr>
      <w:r>
        <w:rPr>
          <w:color w:val="000000" w:themeColor="text1"/>
          <w:spacing w:val="-4"/>
          <w:lang w:val="nl-NL"/>
        </w:rPr>
        <w:t xml:space="preserve">2. </w:t>
      </w:r>
      <w:r w:rsidR="005D684F" w:rsidRPr="00820701">
        <w:rPr>
          <w:color w:val="000000" w:themeColor="text1"/>
          <w:spacing w:val="-4"/>
          <w:lang w:val="nl-NL"/>
        </w:rPr>
        <w:t>Trong quá trình thực hiện, nếu các văn bản quy phạm pháp luật được dẫn chiếu để áp dụng tại Nghị quyết nà</w:t>
      </w:r>
      <w:bookmarkStart w:id="7" w:name="_GoBack"/>
      <w:bookmarkEnd w:id="7"/>
      <w:r w:rsidR="005D684F" w:rsidRPr="00820701">
        <w:rPr>
          <w:color w:val="000000" w:themeColor="text1"/>
          <w:spacing w:val="-4"/>
          <w:lang w:val="nl-NL"/>
        </w:rPr>
        <w:t xml:space="preserve">y được sửa đổi, bổ sung, thay thế bằng văn bản quy phạm pháp luật mới </w:t>
      </w:r>
      <w:r w:rsidR="00395ACE" w:rsidRPr="00820701">
        <w:rPr>
          <w:color w:val="000000" w:themeColor="text1"/>
          <w:spacing w:val="-4"/>
          <w:lang w:val="nl-NL"/>
        </w:rPr>
        <w:t>thì áp dụng theo các văn bản được</w:t>
      </w:r>
      <w:r w:rsidR="005D684F" w:rsidRPr="00820701">
        <w:rPr>
          <w:color w:val="000000" w:themeColor="text1"/>
          <w:spacing w:val="-4"/>
          <w:lang w:val="nl-NL"/>
        </w:rPr>
        <w:t xml:space="preserve"> sửa đổi, bổ sung, thay thế.</w:t>
      </w:r>
    </w:p>
    <w:p w14:paraId="7FD5E96C" w14:textId="77777777" w:rsidR="00417712" w:rsidRDefault="005D684F">
      <w:pPr>
        <w:spacing w:before="120" w:after="120"/>
        <w:ind w:firstLine="720"/>
        <w:jc w:val="both"/>
        <w:rPr>
          <w:i/>
        </w:rPr>
      </w:pPr>
      <w:r>
        <w:rPr>
          <w:i/>
        </w:rPr>
        <w:t>Nghị quyết này đã được Hội đồng</w:t>
      </w:r>
      <w:r w:rsidR="009A4C7D">
        <w:rPr>
          <w:i/>
        </w:rPr>
        <w:t xml:space="preserve"> nhân dân tỉnh Điện Biên Khóa XV, Kỳ họp thứ Hai mươi mốt thông qua ngày 15 tháng 7</w:t>
      </w:r>
      <w:r>
        <w:rPr>
          <w:i/>
        </w:rPr>
        <w:t xml:space="preserve"> năm 2025.</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566"/>
        <w:gridCol w:w="3506"/>
      </w:tblGrid>
      <w:tr w:rsidR="00417712" w14:paraId="739F7ED8" w14:textId="77777777">
        <w:tc>
          <w:tcPr>
            <w:tcW w:w="5637" w:type="dxa"/>
            <w:tcBorders>
              <w:top w:val="nil"/>
              <w:left w:val="nil"/>
              <w:bottom w:val="nil"/>
              <w:right w:val="nil"/>
              <w:tl2br w:val="nil"/>
              <w:tr2bl w:val="nil"/>
            </w:tcBorders>
            <w:shd w:val="clear" w:color="auto" w:fill="auto"/>
            <w:tcMar>
              <w:top w:w="0" w:type="dxa"/>
              <w:left w:w="108" w:type="dxa"/>
              <w:bottom w:w="0" w:type="dxa"/>
              <w:right w:w="108" w:type="dxa"/>
            </w:tcMar>
          </w:tcPr>
          <w:p w14:paraId="4C68CAFF" w14:textId="77777777" w:rsidR="00417712" w:rsidRDefault="005D684F">
            <w:pPr>
              <w:rPr>
                <w:sz w:val="22"/>
                <w:szCs w:val="22"/>
                <w:lang w:val="it-IT"/>
              </w:rPr>
            </w:pPr>
            <w:r>
              <w:t> </w:t>
            </w:r>
            <w:r w:rsidRPr="00AA0E56">
              <w:rPr>
                <w:b/>
                <w:bCs/>
                <w:i/>
                <w:iCs/>
                <w:sz w:val="24"/>
                <w:szCs w:val="24"/>
              </w:rPr>
              <w:t>Nơi nhận:</w:t>
            </w:r>
            <w:r>
              <w:rPr>
                <w:b/>
                <w:bCs/>
                <w:i/>
                <w:iCs/>
              </w:rPr>
              <w:br/>
            </w:r>
            <w:r>
              <w:rPr>
                <w:sz w:val="22"/>
                <w:szCs w:val="22"/>
                <w:lang w:val="it-IT"/>
              </w:rPr>
              <w:t>- Uỷ ban thường vụ Quốc hội</w:t>
            </w:r>
          </w:p>
          <w:p w14:paraId="6B406EBA" w14:textId="77777777" w:rsidR="00417712" w:rsidRDefault="005D684F">
            <w:pPr>
              <w:rPr>
                <w:sz w:val="22"/>
                <w:szCs w:val="22"/>
                <w:lang w:val="it-IT"/>
              </w:rPr>
            </w:pPr>
            <w:r>
              <w:rPr>
                <w:sz w:val="22"/>
                <w:szCs w:val="22"/>
                <w:lang w:val="it-IT"/>
              </w:rPr>
              <w:t>- Chính Phủ;</w:t>
            </w:r>
          </w:p>
          <w:p w14:paraId="21E4CA76" w14:textId="36D729F1" w:rsidR="00396E18" w:rsidRDefault="00396E18">
            <w:pPr>
              <w:rPr>
                <w:sz w:val="22"/>
                <w:szCs w:val="22"/>
                <w:lang w:val="it-IT"/>
              </w:rPr>
            </w:pPr>
            <w:r>
              <w:rPr>
                <w:sz w:val="22"/>
                <w:szCs w:val="22"/>
                <w:lang w:val="it-IT"/>
              </w:rPr>
              <w:t>- Vụ Pháp chế các Bộ: Công thương, Tài chính;</w:t>
            </w:r>
          </w:p>
          <w:p w14:paraId="6137D221" w14:textId="7770D246" w:rsidR="00417712" w:rsidRDefault="005D684F">
            <w:pPr>
              <w:rPr>
                <w:sz w:val="22"/>
                <w:szCs w:val="22"/>
                <w:lang w:val="it-IT"/>
              </w:rPr>
            </w:pPr>
            <w:r>
              <w:rPr>
                <w:sz w:val="22"/>
                <w:szCs w:val="22"/>
                <w:lang w:val="it-IT"/>
              </w:rPr>
              <w:t>- Cục Kiểm tra văn bản và Quản lý XLVPHC - Bộ Tư pháp;</w:t>
            </w:r>
          </w:p>
          <w:p w14:paraId="35851DD8" w14:textId="77777777" w:rsidR="00417712" w:rsidRDefault="00C52209">
            <w:pPr>
              <w:rPr>
                <w:sz w:val="22"/>
                <w:szCs w:val="22"/>
                <w:lang w:val="it-IT"/>
              </w:rPr>
            </w:pPr>
            <w:r>
              <w:rPr>
                <w:sz w:val="22"/>
                <w:szCs w:val="22"/>
                <w:lang w:val="it-IT"/>
              </w:rPr>
              <w:t xml:space="preserve">- TT Tỉnh ủy, </w:t>
            </w:r>
            <w:r w:rsidR="005D684F">
              <w:rPr>
                <w:sz w:val="22"/>
                <w:szCs w:val="22"/>
                <w:lang w:val="it-IT"/>
              </w:rPr>
              <w:t>TT HĐND tỉnh</w:t>
            </w:r>
            <w:r>
              <w:rPr>
                <w:sz w:val="22"/>
                <w:szCs w:val="22"/>
                <w:lang w:val="it-IT"/>
              </w:rPr>
              <w:t xml:space="preserve">, </w:t>
            </w:r>
            <w:r w:rsidR="005D684F">
              <w:rPr>
                <w:sz w:val="22"/>
                <w:szCs w:val="22"/>
                <w:lang w:val="it-IT"/>
              </w:rPr>
              <w:t>UBND tỉnh;</w:t>
            </w:r>
          </w:p>
          <w:p w14:paraId="4ED6C9D9" w14:textId="77777777" w:rsidR="00417712" w:rsidRDefault="00C52209">
            <w:pPr>
              <w:rPr>
                <w:sz w:val="22"/>
                <w:szCs w:val="22"/>
                <w:lang w:val="it-IT"/>
              </w:rPr>
            </w:pPr>
            <w:r>
              <w:rPr>
                <w:sz w:val="22"/>
                <w:szCs w:val="22"/>
                <w:lang w:val="it-IT"/>
              </w:rPr>
              <w:t xml:space="preserve">- Uỷ ban </w:t>
            </w:r>
            <w:r w:rsidR="005D684F">
              <w:rPr>
                <w:sz w:val="22"/>
                <w:szCs w:val="22"/>
                <w:lang w:val="it-IT"/>
              </w:rPr>
              <w:t>MTTQ Việt Nam tỉnh;</w:t>
            </w:r>
          </w:p>
          <w:p w14:paraId="210A76A1" w14:textId="77777777" w:rsidR="00417712" w:rsidRDefault="00C52209">
            <w:pPr>
              <w:rPr>
                <w:sz w:val="22"/>
                <w:szCs w:val="22"/>
                <w:lang w:val="it-IT"/>
              </w:rPr>
            </w:pPr>
            <w:r w:rsidRPr="00501EDB">
              <w:rPr>
                <w:sz w:val="22"/>
                <w:szCs w:val="22"/>
                <w:lang w:val="it-IT"/>
              </w:rPr>
              <w:t>- Đại biểu Quốc hội</w:t>
            </w:r>
            <w:r w:rsidR="00396E18" w:rsidRPr="00501EDB">
              <w:rPr>
                <w:sz w:val="22"/>
                <w:szCs w:val="22"/>
                <w:lang w:val="it-IT"/>
              </w:rPr>
              <w:t xml:space="preserve"> tỉnh</w:t>
            </w:r>
            <w:r w:rsidR="005D684F" w:rsidRPr="00501EDB">
              <w:rPr>
                <w:sz w:val="22"/>
                <w:szCs w:val="22"/>
                <w:lang w:val="it-IT"/>
              </w:rPr>
              <w:t>;</w:t>
            </w:r>
            <w:r w:rsidRPr="00501EDB">
              <w:rPr>
                <w:sz w:val="22"/>
                <w:szCs w:val="22"/>
                <w:lang w:val="it-IT"/>
              </w:rPr>
              <w:t xml:space="preserve"> </w:t>
            </w:r>
            <w:r w:rsidR="00501EDB">
              <w:rPr>
                <w:sz w:val="22"/>
                <w:szCs w:val="22"/>
                <w:lang w:val="it-IT"/>
              </w:rPr>
              <w:t>đ</w:t>
            </w:r>
            <w:r w:rsidRPr="00501EDB">
              <w:rPr>
                <w:sz w:val="22"/>
                <w:szCs w:val="22"/>
                <w:lang w:val="it-IT"/>
              </w:rPr>
              <w:t>ại biểu HĐND tỉnh;</w:t>
            </w:r>
          </w:p>
          <w:p w14:paraId="2975CE70" w14:textId="77777777" w:rsidR="00417712" w:rsidRDefault="005D684F">
            <w:pPr>
              <w:rPr>
                <w:sz w:val="22"/>
                <w:szCs w:val="22"/>
                <w:lang w:val="it-IT"/>
              </w:rPr>
            </w:pPr>
            <w:r>
              <w:rPr>
                <w:sz w:val="22"/>
                <w:szCs w:val="22"/>
                <w:lang w:val="it-IT"/>
              </w:rPr>
              <w:t xml:space="preserve">- Các Sở, </w:t>
            </w:r>
            <w:r w:rsidR="00C52209">
              <w:rPr>
                <w:sz w:val="22"/>
                <w:szCs w:val="22"/>
                <w:lang w:val="it-IT"/>
              </w:rPr>
              <w:t>ban, n</w:t>
            </w:r>
            <w:r>
              <w:rPr>
                <w:sz w:val="22"/>
                <w:szCs w:val="22"/>
                <w:lang w:val="it-IT"/>
              </w:rPr>
              <w:t>gành, tổ chức chính trị xã hội tỉnh;</w:t>
            </w:r>
          </w:p>
          <w:p w14:paraId="277D7143" w14:textId="77777777" w:rsidR="00396E18" w:rsidRDefault="00396E18">
            <w:pPr>
              <w:rPr>
                <w:sz w:val="22"/>
                <w:szCs w:val="22"/>
                <w:lang w:val="it-IT"/>
              </w:rPr>
            </w:pPr>
            <w:r>
              <w:rPr>
                <w:sz w:val="22"/>
                <w:szCs w:val="22"/>
                <w:lang w:val="it-IT"/>
              </w:rPr>
              <w:t>- Lãnh đạo, CV VP  Đoàn ĐBQH và HĐND tỉnh;</w:t>
            </w:r>
          </w:p>
          <w:p w14:paraId="126ED143" w14:textId="77777777" w:rsidR="00417712" w:rsidRDefault="005D684F">
            <w:pPr>
              <w:rPr>
                <w:sz w:val="22"/>
                <w:szCs w:val="22"/>
                <w:lang w:val="it-IT"/>
              </w:rPr>
            </w:pPr>
            <w:r>
              <w:rPr>
                <w:sz w:val="22"/>
                <w:szCs w:val="22"/>
                <w:lang w:val="it-IT"/>
              </w:rPr>
              <w:t>- HĐND, UBND các xã, phường;</w:t>
            </w:r>
          </w:p>
          <w:p w14:paraId="405EBA7A" w14:textId="77777777" w:rsidR="00417712" w:rsidRDefault="005D684F">
            <w:pPr>
              <w:rPr>
                <w:sz w:val="22"/>
                <w:szCs w:val="22"/>
                <w:lang w:val="it-IT"/>
              </w:rPr>
            </w:pPr>
            <w:r>
              <w:rPr>
                <w:sz w:val="22"/>
                <w:szCs w:val="22"/>
                <w:lang w:val="it-IT"/>
              </w:rPr>
              <w:t>- Báo Điện Biên Phủ;</w:t>
            </w:r>
          </w:p>
          <w:p w14:paraId="0D24AA92" w14:textId="76F7B47D" w:rsidR="00B533D5" w:rsidRDefault="00B533D5">
            <w:pPr>
              <w:rPr>
                <w:sz w:val="22"/>
                <w:szCs w:val="22"/>
                <w:lang w:val="it-IT"/>
              </w:rPr>
            </w:pPr>
            <w:r>
              <w:rPr>
                <w:sz w:val="22"/>
                <w:szCs w:val="22"/>
                <w:lang w:val="it-IT"/>
              </w:rPr>
              <w:t>- Trung tâm Thông tin - Hội nghị - Nhà khách tỉnh</w:t>
            </w:r>
            <w:r w:rsidR="00047E59">
              <w:rPr>
                <w:sz w:val="22"/>
                <w:szCs w:val="22"/>
                <w:lang w:val="it-IT"/>
              </w:rPr>
              <w:t>;</w:t>
            </w:r>
          </w:p>
          <w:p w14:paraId="52B06B1F" w14:textId="77777777" w:rsidR="00417712" w:rsidRDefault="005D684F">
            <w:pPr>
              <w:rPr>
                <w:sz w:val="22"/>
                <w:szCs w:val="22"/>
                <w:lang w:val="it-IT"/>
              </w:rPr>
            </w:pPr>
            <w:r>
              <w:rPr>
                <w:sz w:val="22"/>
                <w:szCs w:val="22"/>
                <w:lang w:val="it-IT"/>
              </w:rPr>
              <w:t>- Cổng Thông tin điện tử tỉnh;</w:t>
            </w:r>
          </w:p>
          <w:p w14:paraId="550A540F" w14:textId="77777777" w:rsidR="00417712" w:rsidRDefault="00B533D5">
            <w:r>
              <w:rPr>
                <w:sz w:val="22"/>
                <w:szCs w:val="22"/>
                <w:lang w:val="it-IT"/>
              </w:rPr>
              <w:t>- Lưu VT</w:t>
            </w:r>
            <w:r w:rsidR="005D684F">
              <w:rPr>
                <w:sz w:val="22"/>
                <w:szCs w:val="22"/>
                <w:lang w:val="it-IT"/>
              </w:rPr>
              <w:t>.</w:t>
            </w:r>
          </w:p>
        </w:tc>
        <w:tc>
          <w:tcPr>
            <w:tcW w:w="3543" w:type="dxa"/>
            <w:tcBorders>
              <w:top w:val="nil"/>
              <w:left w:val="nil"/>
              <w:bottom w:val="nil"/>
              <w:right w:val="nil"/>
              <w:tl2br w:val="nil"/>
              <w:tr2bl w:val="nil"/>
            </w:tcBorders>
            <w:shd w:val="clear" w:color="auto" w:fill="auto"/>
            <w:tcMar>
              <w:top w:w="0" w:type="dxa"/>
              <w:left w:w="108" w:type="dxa"/>
              <w:bottom w:w="0" w:type="dxa"/>
              <w:right w:w="108" w:type="dxa"/>
            </w:tcMar>
          </w:tcPr>
          <w:p w14:paraId="0847AE73" w14:textId="77777777" w:rsidR="003A004F" w:rsidRDefault="005D684F">
            <w:pPr>
              <w:spacing w:before="120"/>
              <w:jc w:val="center"/>
              <w:rPr>
                <w:b/>
                <w:bCs/>
              </w:rPr>
            </w:pPr>
            <w:r>
              <w:rPr>
                <w:b/>
                <w:bCs/>
              </w:rPr>
              <w:t>CHỦ TỊCH</w:t>
            </w:r>
            <w:r>
              <w:rPr>
                <w:b/>
                <w:bCs/>
              </w:rPr>
              <w:br/>
            </w:r>
            <w:r>
              <w:rPr>
                <w:b/>
                <w:bCs/>
              </w:rPr>
              <w:br/>
            </w:r>
          </w:p>
          <w:p w14:paraId="40FC33F0" w14:textId="77777777" w:rsidR="003A004F" w:rsidRDefault="003A004F">
            <w:pPr>
              <w:spacing w:before="120"/>
              <w:jc w:val="center"/>
              <w:rPr>
                <w:b/>
                <w:bCs/>
              </w:rPr>
            </w:pPr>
          </w:p>
          <w:p w14:paraId="266166F0" w14:textId="77777777" w:rsidR="003A004F" w:rsidRDefault="003A004F">
            <w:pPr>
              <w:spacing w:before="120"/>
              <w:jc w:val="center"/>
              <w:rPr>
                <w:b/>
                <w:bCs/>
              </w:rPr>
            </w:pPr>
          </w:p>
          <w:p w14:paraId="01B6DC7C" w14:textId="77777777" w:rsidR="003A004F" w:rsidRDefault="003A004F">
            <w:pPr>
              <w:spacing w:before="120"/>
              <w:jc w:val="center"/>
              <w:rPr>
                <w:b/>
                <w:bCs/>
              </w:rPr>
            </w:pPr>
          </w:p>
          <w:p w14:paraId="5F35259C" w14:textId="77777777" w:rsidR="00417712" w:rsidRDefault="003A004F">
            <w:pPr>
              <w:spacing w:before="120"/>
              <w:jc w:val="center"/>
              <w:rPr>
                <w:b/>
                <w:bCs/>
              </w:rPr>
            </w:pPr>
            <w:r>
              <w:rPr>
                <w:b/>
                <w:bCs/>
              </w:rPr>
              <w:t>Lò Văn Phương</w:t>
            </w:r>
            <w:r w:rsidR="005D684F">
              <w:rPr>
                <w:b/>
                <w:bCs/>
              </w:rPr>
              <w:br/>
            </w:r>
          </w:p>
          <w:p w14:paraId="14F0C418" w14:textId="77777777" w:rsidR="00417712" w:rsidRDefault="005D684F">
            <w:pPr>
              <w:spacing w:before="120"/>
              <w:jc w:val="center"/>
            </w:pPr>
            <w:r>
              <w:rPr>
                <w:b/>
                <w:bCs/>
              </w:rPr>
              <w:br/>
            </w:r>
            <w:r>
              <w:rPr>
                <w:b/>
                <w:bCs/>
              </w:rPr>
              <w:br/>
            </w:r>
          </w:p>
        </w:tc>
      </w:tr>
    </w:tbl>
    <w:p w14:paraId="48D2122A" w14:textId="77777777" w:rsidR="00417712" w:rsidRDefault="005D684F">
      <w:pPr>
        <w:spacing w:before="120" w:after="280" w:afterAutospacing="1"/>
      </w:pPr>
      <w:r>
        <w:t> </w:t>
      </w:r>
    </w:p>
    <w:p w14:paraId="3E0FAC1A" w14:textId="77777777" w:rsidR="00417712" w:rsidRDefault="00417712"/>
    <w:p w14:paraId="7A4A28EC" w14:textId="77777777" w:rsidR="00417712" w:rsidRDefault="00417712">
      <w:pPr>
        <w:spacing w:before="120" w:after="120"/>
        <w:ind w:firstLine="720"/>
        <w:jc w:val="both"/>
      </w:pPr>
    </w:p>
    <w:p w14:paraId="0A10F0E1" w14:textId="77777777" w:rsidR="00417712" w:rsidRDefault="00417712">
      <w:pPr>
        <w:spacing w:before="120" w:after="280" w:afterAutospacing="1"/>
      </w:pPr>
    </w:p>
    <w:p w14:paraId="46F5A70D" w14:textId="77777777" w:rsidR="00417712" w:rsidRDefault="00417712">
      <w:pPr>
        <w:rPr>
          <w:lang w:val="nl-NL"/>
        </w:rPr>
      </w:pPr>
    </w:p>
    <w:p w14:paraId="59168A38" w14:textId="77777777" w:rsidR="00417712" w:rsidRDefault="00417712"/>
    <w:sectPr w:rsidR="00417712" w:rsidSect="00102D51">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D0153" w14:textId="77777777" w:rsidR="00EB7F83" w:rsidRDefault="00EB7F83">
      <w:r>
        <w:separator/>
      </w:r>
    </w:p>
  </w:endnote>
  <w:endnote w:type="continuationSeparator" w:id="0">
    <w:p w14:paraId="590483BF" w14:textId="77777777" w:rsidR="00EB7F83" w:rsidRDefault="00EB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34D63" w14:textId="77777777" w:rsidR="00EB7F83" w:rsidRDefault="00EB7F83">
      <w:r>
        <w:separator/>
      </w:r>
    </w:p>
  </w:footnote>
  <w:footnote w:type="continuationSeparator" w:id="0">
    <w:p w14:paraId="2F5886BC" w14:textId="77777777" w:rsidR="00EB7F83" w:rsidRDefault="00EB7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7166"/>
      <w:docPartObj>
        <w:docPartGallery w:val="Page Numbers (Top of Page)"/>
        <w:docPartUnique/>
      </w:docPartObj>
    </w:sdtPr>
    <w:sdtEndPr/>
    <w:sdtContent>
      <w:p w14:paraId="7128D1AE" w14:textId="77777777" w:rsidR="00417712" w:rsidRDefault="00102D51">
        <w:pPr>
          <w:pStyle w:val="Header"/>
          <w:jc w:val="center"/>
        </w:pPr>
        <w:r>
          <w:fldChar w:fldCharType="begin"/>
        </w:r>
        <w:r w:rsidR="005D684F">
          <w:instrText xml:space="preserve"> PAGE   \* MERGEFORMAT </w:instrText>
        </w:r>
        <w:r>
          <w:fldChar w:fldCharType="separate"/>
        </w:r>
        <w:r w:rsidR="00501EDB">
          <w:rPr>
            <w:noProof/>
          </w:rPr>
          <w:t>6</w:t>
        </w:r>
        <w:r>
          <w:rPr>
            <w:noProof/>
          </w:rPr>
          <w:fldChar w:fldCharType="end"/>
        </w:r>
      </w:p>
    </w:sdtContent>
  </w:sdt>
  <w:p w14:paraId="4600EEBB" w14:textId="77777777" w:rsidR="00417712" w:rsidRDefault="00417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755AE9"/>
    <w:multiLevelType w:val="hybridMultilevel"/>
    <w:tmpl w:val="AE02231E"/>
    <w:lvl w:ilvl="0" w:tplc="5F884DCA">
      <w:start w:val="6"/>
      <w:numFmt w:val="bullet"/>
      <w:lvlText w:val="-"/>
      <w:lvlJc w:val="left"/>
      <w:pPr>
        <w:ind w:left="108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712"/>
    <w:rsid w:val="00047E59"/>
    <w:rsid w:val="000A4325"/>
    <w:rsid w:val="000E01F7"/>
    <w:rsid w:val="00102D51"/>
    <w:rsid w:val="00130C69"/>
    <w:rsid w:val="00147BD0"/>
    <w:rsid w:val="001A4444"/>
    <w:rsid w:val="001D638D"/>
    <w:rsid w:val="001E4E80"/>
    <w:rsid w:val="00206010"/>
    <w:rsid w:val="002B3BB6"/>
    <w:rsid w:val="00330689"/>
    <w:rsid w:val="00334391"/>
    <w:rsid w:val="00376D3B"/>
    <w:rsid w:val="00395ACE"/>
    <w:rsid w:val="00396E18"/>
    <w:rsid w:val="003A004F"/>
    <w:rsid w:val="00417712"/>
    <w:rsid w:val="004661D5"/>
    <w:rsid w:val="004709B6"/>
    <w:rsid w:val="004C3574"/>
    <w:rsid w:val="004D58CB"/>
    <w:rsid w:val="00501EDB"/>
    <w:rsid w:val="00536EE2"/>
    <w:rsid w:val="005D404F"/>
    <w:rsid w:val="005D684F"/>
    <w:rsid w:val="005E0761"/>
    <w:rsid w:val="00657D49"/>
    <w:rsid w:val="00670BFD"/>
    <w:rsid w:val="007478C3"/>
    <w:rsid w:val="007F5F7C"/>
    <w:rsid w:val="00820701"/>
    <w:rsid w:val="008408E3"/>
    <w:rsid w:val="00847AD1"/>
    <w:rsid w:val="00892185"/>
    <w:rsid w:val="009A4C7D"/>
    <w:rsid w:val="009C335D"/>
    <w:rsid w:val="00A87DC8"/>
    <w:rsid w:val="00AA0E56"/>
    <w:rsid w:val="00AC11F1"/>
    <w:rsid w:val="00AC6047"/>
    <w:rsid w:val="00B30E4B"/>
    <w:rsid w:val="00B438E6"/>
    <w:rsid w:val="00B533D5"/>
    <w:rsid w:val="00B54740"/>
    <w:rsid w:val="00BD1811"/>
    <w:rsid w:val="00C30235"/>
    <w:rsid w:val="00C52209"/>
    <w:rsid w:val="00DA0262"/>
    <w:rsid w:val="00E54E44"/>
    <w:rsid w:val="00EB7F83"/>
    <w:rsid w:val="00EF6B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105B"/>
  <w15:docId w15:val="{DCAB8072-E6F7-4F5A-89A3-51ADB7B6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D51"/>
    <w:pPr>
      <w:spacing w:after="0" w:line="240" w:lineRule="auto"/>
    </w:pPr>
    <w:rPr>
      <w:rFonts w:eastAsia="Times New Roman" w:cs="Times New Roman"/>
      <w:szCs w:val="28"/>
    </w:rPr>
  </w:style>
  <w:style w:type="paragraph" w:styleId="Heading4">
    <w:name w:val="heading 4"/>
    <w:basedOn w:val="Normal"/>
    <w:next w:val="Normal"/>
    <w:link w:val="Heading4Char"/>
    <w:uiPriority w:val="9"/>
    <w:unhideWhenUsed/>
    <w:qFormat/>
    <w:rsid w:val="00102D51"/>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102D51"/>
    <w:pPr>
      <w:keepNext/>
      <w:spacing w:line="288" w:lineRule="auto"/>
      <w:outlineLvl w:val="6"/>
    </w:pPr>
    <w:rPr>
      <w:rFonts w:ascii=".VnTime" w:hAnsi=".VnTime"/>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D51"/>
    <w:pPr>
      <w:tabs>
        <w:tab w:val="center" w:pos="4680"/>
        <w:tab w:val="right" w:pos="9360"/>
      </w:tabs>
    </w:pPr>
  </w:style>
  <w:style w:type="character" w:customStyle="1" w:styleId="HeaderChar">
    <w:name w:val="Header Char"/>
    <w:basedOn w:val="DefaultParagraphFont"/>
    <w:link w:val="Header"/>
    <w:uiPriority w:val="99"/>
    <w:rsid w:val="00102D51"/>
    <w:rPr>
      <w:rFonts w:eastAsia="Times New Roman" w:cs="Times New Roman"/>
      <w:szCs w:val="28"/>
    </w:rPr>
  </w:style>
  <w:style w:type="paragraph" w:styleId="Footer">
    <w:name w:val="footer"/>
    <w:basedOn w:val="Normal"/>
    <w:link w:val="FooterChar"/>
    <w:uiPriority w:val="99"/>
    <w:unhideWhenUsed/>
    <w:rsid w:val="00102D51"/>
    <w:pPr>
      <w:tabs>
        <w:tab w:val="center" w:pos="4680"/>
        <w:tab w:val="right" w:pos="9360"/>
      </w:tabs>
    </w:pPr>
  </w:style>
  <w:style w:type="character" w:customStyle="1" w:styleId="FooterChar">
    <w:name w:val="Footer Char"/>
    <w:basedOn w:val="DefaultParagraphFont"/>
    <w:link w:val="Footer"/>
    <w:uiPriority w:val="99"/>
    <w:rsid w:val="00102D51"/>
    <w:rPr>
      <w:rFonts w:eastAsia="Times New Roman" w:cs="Times New Roman"/>
      <w:szCs w:val="28"/>
    </w:rPr>
  </w:style>
  <w:style w:type="character" w:customStyle="1" w:styleId="fontstyle01">
    <w:name w:val="fontstyle01"/>
    <w:basedOn w:val="DefaultParagraphFont"/>
    <w:rsid w:val="00102D51"/>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102D51"/>
    <w:pPr>
      <w:spacing w:before="100" w:beforeAutospacing="1" w:after="100" w:afterAutospacing="1"/>
    </w:pPr>
    <w:rPr>
      <w:sz w:val="24"/>
      <w:szCs w:val="24"/>
    </w:rPr>
  </w:style>
  <w:style w:type="table" w:styleId="TableGrid">
    <w:name w:val="Table Grid"/>
    <w:basedOn w:val="TableNormal"/>
    <w:uiPriority w:val="59"/>
    <w:rsid w:val="00102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102D51"/>
    <w:rPr>
      <w:rFonts w:ascii=".VnTime" w:eastAsia="Times New Roman" w:hAnsi=".VnTime" w:cs="Times New Roman"/>
      <w:b/>
      <w:sz w:val="26"/>
      <w:szCs w:val="20"/>
    </w:rPr>
  </w:style>
  <w:style w:type="paragraph" w:styleId="ListParagraph">
    <w:name w:val="List Paragraph"/>
    <w:basedOn w:val="Normal"/>
    <w:uiPriority w:val="34"/>
    <w:qFormat/>
    <w:rsid w:val="00102D51"/>
    <w:pPr>
      <w:ind w:left="720"/>
      <w:contextualSpacing/>
    </w:pPr>
  </w:style>
  <w:style w:type="character" w:styleId="Strong">
    <w:name w:val="Strong"/>
    <w:basedOn w:val="DefaultParagraphFont"/>
    <w:uiPriority w:val="22"/>
    <w:qFormat/>
    <w:rsid w:val="00102D51"/>
    <w:rPr>
      <w:b/>
      <w:bCs/>
    </w:rPr>
  </w:style>
  <w:style w:type="character" w:styleId="CommentReference">
    <w:name w:val="annotation reference"/>
    <w:basedOn w:val="DefaultParagraphFont"/>
    <w:uiPriority w:val="99"/>
    <w:semiHidden/>
    <w:unhideWhenUsed/>
    <w:rsid w:val="00102D51"/>
    <w:rPr>
      <w:sz w:val="16"/>
      <w:szCs w:val="16"/>
    </w:rPr>
  </w:style>
  <w:style w:type="paragraph" w:styleId="CommentText">
    <w:name w:val="annotation text"/>
    <w:basedOn w:val="Normal"/>
    <w:link w:val="CommentTextChar"/>
    <w:uiPriority w:val="99"/>
    <w:semiHidden/>
    <w:unhideWhenUsed/>
    <w:rsid w:val="00102D51"/>
    <w:rPr>
      <w:sz w:val="20"/>
      <w:szCs w:val="20"/>
    </w:rPr>
  </w:style>
  <w:style w:type="character" w:customStyle="1" w:styleId="CommentTextChar">
    <w:name w:val="Comment Text Char"/>
    <w:basedOn w:val="DefaultParagraphFont"/>
    <w:link w:val="CommentText"/>
    <w:uiPriority w:val="99"/>
    <w:semiHidden/>
    <w:rsid w:val="00102D51"/>
    <w:rPr>
      <w:rFonts w:eastAsia="Times New Roman" w:cs="Times New Roman"/>
      <w:sz w:val="20"/>
      <w:szCs w:val="20"/>
    </w:rPr>
  </w:style>
  <w:style w:type="character" w:customStyle="1" w:styleId="Heading4Char">
    <w:name w:val="Heading 4 Char"/>
    <w:basedOn w:val="DefaultParagraphFont"/>
    <w:link w:val="Heading4"/>
    <w:uiPriority w:val="9"/>
    <w:rsid w:val="00102D51"/>
    <w:rPr>
      <w:rFonts w:asciiTheme="majorHAnsi" w:eastAsiaTheme="majorEastAsia" w:hAnsiTheme="majorHAnsi" w:cstheme="majorBidi"/>
      <w:b/>
      <w:bCs/>
      <w:i/>
      <w:iCs/>
      <w:color w:val="4F81BD" w:themeColor="accent1"/>
      <w:szCs w:val="28"/>
    </w:rPr>
  </w:style>
  <w:style w:type="paragraph" w:styleId="FootnoteText">
    <w:name w:val="footnote text"/>
    <w:basedOn w:val="Normal"/>
    <w:link w:val="FootnoteTextChar"/>
    <w:uiPriority w:val="99"/>
    <w:semiHidden/>
    <w:unhideWhenUsed/>
    <w:rsid w:val="00102D51"/>
    <w:rPr>
      <w:sz w:val="20"/>
      <w:szCs w:val="20"/>
    </w:rPr>
  </w:style>
  <w:style w:type="character" w:customStyle="1" w:styleId="FootnoteTextChar">
    <w:name w:val="Footnote Text Char"/>
    <w:basedOn w:val="DefaultParagraphFont"/>
    <w:link w:val="FootnoteText"/>
    <w:uiPriority w:val="99"/>
    <w:semiHidden/>
    <w:rsid w:val="00102D51"/>
    <w:rPr>
      <w:rFonts w:eastAsia="Times New Roman" w:cs="Times New Roman"/>
      <w:sz w:val="20"/>
      <w:szCs w:val="20"/>
    </w:rPr>
  </w:style>
  <w:style w:type="character" w:styleId="FootnoteReference">
    <w:name w:val="footnote reference"/>
    <w:uiPriority w:val="99"/>
    <w:semiHidden/>
    <w:unhideWhenUsed/>
    <w:rsid w:val="00102D51"/>
    <w:rPr>
      <w:rFonts w:ascii="Times New Roman" w:eastAsia="Times New Roman" w:hAnsi="Times New Roman" w:cs="Times New Roman"/>
      <w:vertAlign w:val="superscript"/>
    </w:rPr>
  </w:style>
  <w:style w:type="character" w:customStyle="1" w:styleId="BodyTextChar1">
    <w:name w:val="Body Text Char1"/>
    <w:link w:val="BodyText"/>
    <w:uiPriority w:val="99"/>
    <w:rsid w:val="00102D51"/>
    <w:rPr>
      <w:rFonts w:cs="Times New Roman"/>
      <w:sz w:val="26"/>
      <w:szCs w:val="26"/>
      <w:shd w:val="clear" w:color="auto" w:fill="FFFFFF"/>
    </w:rPr>
  </w:style>
  <w:style w:type="paragraph" w:styleId="BodyText">
    <w:name w:val="Body Text"/>
    <w:basedOn w:val="Normal"/>
    <w:link w:val="BodyTextChar1"/>
    <w:uiPriority w:val="99"/>
    <w:qFormat/>
    <w:rsid w:val="00102D51"/>
    <w:pPr>
      <w:widowControl w:val="0"/>
      <w:shd w:val="clear" w:color="auto" w:fill="FFFFFF"/>
      <w:spacing w:after="60" w:line="312" w:lineRule="auto"/>
      <w:ind w:firstLine="400"/>
    </w:pPr>
    <w:rPr>
      <w:rFonts w:eastAsiaTheme="minorHAnsi"/>
      <w:sz w:val="26"/>
      <w:szCs w:val="26"/>
    </w:rPr>
  </w:style>
  <w:style w:type="character" w:customStyle="1" w:styleId="BodyTextChar">
    <w:name w:val="Body Text Char"/>
    <w:basedOn w:val="DefaultParagraphFont"/>
    <w:uiPriority w:val="99"/>
    <w:semiHidden/>
    <w:rsid w:val="00102D51"/>
    <w:rPr>
      <w:rFonts w:eastAsia="Times New Roman" w:cs="Times New Roman"/>
      <w:szCs w:val="28"/>
    </w:rPr>
  </w:style>
  <w:style w:type="paragraph" w:customStyle="1" w:styleId="Style7">
    <w:name w:val="Style7"/>
    <w:basedOn w:val="Normal"/>
    <w:rsid w:val="00102D51"/>
    <w:pPr>
      <w:widowControl w:val="0"/>
      <w:autoSpaceDE w:val="0"/>
      <w:autoSpaceDN w:val="0"/>
      <w:adjustRightInd w:val="0"/>
      <w:spacing w:line="338" w:lineRule="exact"/>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15408">
      <w:bodyDiv w:val="1"/>
      <w:marLeft w:val="0"/>
      <w:marRight w:val="0"/>
      <w:marTop w:val="0"/>
      <w:marBottom w:val="0"/>
      <w:divBdr>
        <w:top w:val="none" w:sz="0" w:space="0" w:color="auto"/>
        <w:left w:val="none" w:sz="0" w:space="0" w:color="auto"/>
        <w:bottom w:val="none" w:sz="0" w:space="0" w:color="auto"/>
        <w:right w:val="none" w:sz="0" w:space="0" w:color="auto"/>
      </w:divBdr>
    </w:div>
    <w:div w:id="278882650">
      <w:bodyDiv w:val="1"/>
      <w:marLeft w:val="0"/>
      <w:marRight w:val="0"/>
      <w:marTop w:val="0"/>
      <w:marBottom w:val="0"/>
      <w:divBdr>
        <w:top w:val="none" w:sz="0" w:space="0" w:color="auto"/>
        <w:left w:val="none" w:sz="0" w:space="0" w:color="auto"/>
        <w:bottom w:val="none" w:sz="0" w:space="0" w:color="auto"/>
        <w:right w:val="none" w:sz="0" w:space="0" w:color="auto"/>
      </w:divBdr>
    </w:div>
    <w:div w:id="600916421">
      <w:bodyDiv w:val="1"/>
      <w:marLeft w:val="0"/>
      <w:marRight w:val="0"/>
      <w:marTop w:val="0"/>
      <w:marBottom w:val="0"/>
      <w:divBdr>
        <w:top w:val="none" w:sz="0" w:space="0" w:color="auto"/>
        <w:left w:val="none" w:sz="0" w:space="0" w:color="auto"/>
        <w:bottom w:val="none" w:sz="0" w:space="0" w:color="auto"/>
        <w:right w:val="none" w:sz="0" w:space="0" w:color="auto"/>
      </w:divBdr>
    </w:div>
    <w:div w:id="977105734">
      <w:bodyDiv w:val="1"/>
      <w:marLeft w:val="0"/>
      <w:marRight w:val="0"/>
      <w:marTop w:val="0"/>
      <w:marBottom w:val="0"/>
      <w:divBdr>
        <w:top w:val="none" w:sz="0" w:space="0" w:color="auto"/>
        <w:left w:val="none" w:sz="0" w:space="0" w:color="auto"/>
        <w:bottom w:val="none" w:sz="0" w:space="0" w:color="auto"/>
        <w:right w:val="none" w:sz="0" w:space="0" w:color="auto"/>
      </w:divBdr>
    </w:div>
    <w:div w:id="1775634823">
      <w:bodyDiv w:val="1"/>
      <w:marLeft w:val="0"/>
      <w:marRight w:val="0"/>
      <w:marTop w:val="0"/>
      <w:marBottom w:val="0"/>
      <w:divBdr>
        <w:top w:val="none" w:sz="0" w:space="0" w:color="auto"/>
        <w:left w:val="none" w:sz="0" w:space="0" w:color="auto"/>
        <w:bottom w:val="none" w:sz="0" w:space="0" w:color="auto"/>
        <w:right w:val="none" w:sz="0" w:space="0" w:color="auto"/>
      </w:divBdr>
    </w:div>
    <w:div w:id="1809515737">
      <w:bodyDiv w:val="1"/>
      <w:marLeft w:val="0"/>
      <w:marRight w:val="0"/>
      <w:marTop w:val="0"/>
      <w:marBottom w:val="0"/>
      <w:divBdr>
        <w:top w:val="none" w:sz="0" w:space="0" w:color="auto"/>
        <w:left w:val="none" w:sz="0" w:space="0" w:color="auto"/>
        <w:bottom w:val="none" w:sz="0" w:space="0" w:color="auto"/>
        <w:right w:val="none" w:sz="0" w:space="0" w:color="auto"/>
      </w:divBdr>
    </w:div>
    <w:div w:id="1972785461">
      <w:bodyDiv w:val="1"/>
      <w:marLeft w:val="0"/>
      <w:marRight w:val="0"/>
      <w:marTop w:val="0"/>
      <w:marBottom w:val="0"/>
      <w:divBdr>
        <w:top w:val="none" w:sz="0" w:space="0" w:color="auto"/>
        <w:left w:val="none" w:sz="0" w:space="0" w:color="auto"/>
        <w:bottom w:val="none" w:sz="0" w:space="0" w:color="auto"/>
        <w:right w:val="none" w:sz="0" w:space="0" w:color="auto"/>
      </w:divBdr>
    </w:div>
    <w:div w:id="198095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A23A5-6D25-4C0E-AB78-495E98BE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2029</Words>
  <Characters>11566</Characters>
  <Application>Microsoft Office Word</Application>
  <DocSecurity>0</DocSecurity>
  <Lines>96</Lines>
  <Paragraphs>27</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Phòng QLCN-Sở Công Thương Điện Biên</vt:lpstr>
      <vt:lpstr>Phòng QLCN-Sở Công Thương Điện Biên</vt:lpstr>
    </vt:vector>
  </TitlesOfParts>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QLCN-Sở Công Thương Điện Biên</dc:title>
  <dc:creator>Hiep Nguyen</dc:creator>
  <cp:lastModifiedBy>pc</cp:lastModifiedBy>
  <cp:revision>11</cp:revision>
  <dcterms:created xsi:type="dcterms:W3CDTF">2025-07-12T01:33:00Z</dcterms:created>
  <dcterms:modified xsi:type="dcterms:W3CDTF">2025-07-12T08:08:00Z</dcterms:modified>
</cp:coreProperties>
</file>